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94424E" w:rsidP="00D44968">
            <w:pPr>
              <w:suppressLineNumbers/>
              <w:jc w:val="both"/>
              <w:rPr>
                <w:rFonts w:ascii="Arial" w:hAnsi="Arial"/>
                <w:b/>
                <w:bCs/>
                <w:sz w:val="26"/>
                <w:szCs w:val="26"/>
                <w:rtl/>
              </w:rPr>
            </w:pPr>
            <w:r w:rsidRPr="00DD05A8">
              <w:rPr>
                <w:rFonts w:ascii="Arial" w:hAnsi="Arial" w:hint="cs"/>
                <w:b/>
                <w:bCs/>
                <w:sz w:val="26"/>
                <w:szCs w:val="26"/>
                <w:rtl/>
              </w:rPr>
              <w:t>ב</w:t>
            </w:r>
            <w:r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מרים אילני</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93139F" w:rsidRDefault="00AF7D75" w:rsidP="00C632FF">
                <w:pPr>
                  <w:suppressLineNumbers/>
                  <w:rPr>
                    <w:rFonts w:ascii="Arial" w:hAnsi="Arial"/>
                    <w:b/>
                    <w:bCs/>
                    <w:noProof w:val="0"/>
                    <w:sz w:val="26"/>
                    <w:szCs w:val="26"/>
                    <w:rtl/>
                  </w:rPr>
                </w:pPr>
                <w:r>
                  <w:rPr>
                    <w:rFonts w:ascii="Arial" w:hAnsi="Arial"/>
                    <w:b/>
                    <w:bCs/>
                    <w:noProof w:val="0"/>
                    <w:sz w:val="26"/>
                    <w:szCs w:val="26"/>
                    <w:rtl/>
                  </w:rPr>
                  <w:t>תובע</w:t>
                </w:r>
              </w:p>
            </w:sdtContent>
          </w:sdt>
        </w:tc>
        <w:tc>
          <w:tcPr>
            <w:tcW w:w="5571" w:type="dxa"/>
          </w:tcPr>
          <w:p w:rsidR="0094424E" w:rsidRDefault="0094424E" w:rsidP="00D44968">
            <w:pPr>
              <w:suppressLineNumbers/>
              <w:rPr>
                <w:rFonts w:ascii="Arial" w:hAnsi="Arial"/>
                <w:b/>
                <w:bCs/>
                <w:noProof w:val="0"/>
                <w:sz w:val="26"/>
                <w:szCs w:val="26"/>
                <w:rtl/>
              </w:rPr>
            </w:pPr>
          </w:p>
          <w:p w:rsidR="00C632FF" w:rsidRDefault="007C2453" w:rsidP="007C2453">
            <w:pPr>
              <w:suppressLineNumbers/>
              <w:rPr>
                <w:rtl/>
              </w:rPr>
            </w:pPr>
            <w:r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B859C5">
                  <w:rPr>
                    <w:rFonts w:ascii="Arial" w:hAnsi="Arial" w:hint="eastAsia"/>
                    <w:b/>
                    <w:bCs/>
                    <w:noProof w:val="0"/>
                    <w:sz w:val="26"/>
                    <w:szCs w:val="26"/>
                    <w:rtl/>
                  </w:rPr>
                  <w:t>פלוני</w:t>
                </w:r>
              </w:sdtContent>
            </w:sdt>
            <w:r w:rsidR="00B859C5">
              <w:rPr>
                <w:rFonts w:hint="cs"/>
                <w:rtl/>
              </w:rPr>
              <w:t xml:space="preserve"> </w:t>
            </w:r>
          </w:p>
          <w:p w:rsidR="00C632FF" w:rsidRPr="00C632FF" w:rsidRDefault="00C632FF" w:rsidP="007C2453">
            <w:pPr>
              <w:suppressLineNumbers/>
              <w:rPr>
                <w:rFonts w:ascii="Arial" w:hAnsi="Arial"/>
                <w:b/>
                <w:bCs/>
                <w:sz w:val="10"/>
                <w:szCs w:val="10"/>
                <w:rtl/>
              </w:rPr>
            </w:pPr>
            <w:r>
              <w:rPr>
                <w:rFonts w:ascii="Arial" w:hAnsi="Arial" w:hint="cs"/>
                <w:b/>
                <w:bCs/>
                <w:rtl/>
              </w:rPr>
              <w:t xml:space="preserve"> </w:t>
            </w:r>
          </w:p>
          <w:p w:rsidR="0094424E" w:rsidRPr="00C632FF" w:rsidRDefault="00C632FF" w:rsidP="007C2453">
            <w:pPr>
              <w:suppressLineNumbers/>
              <w:rPr>
                <w:noProof w:val="0"/>
                <w:sz w:val="26"/>
                <w:szCs w:val="26"/>
              </w:rPr>
            </w:pPr>
            <w:r>
              <w:rPr>
                <w:rFonts w:ascii="Arial" w:hAnsi="Arial" w:hint="cs"/>
                <w:noProof w:val="0"/>
                <w:sz w:val="26"/>
                <w:szCs w:val="26"/>
                <w:rtl/>
              </w:rPr>
              <w:t xml:space="preserve"> </w:t>
            </w:r>
            <w:r w:rsidR="00B859C5" w:rsidRPr="00C632FF">
              <w:rPr>
                <w:rFonts w:ascii="Arial" w:hAnsi="Arial"/>
                <w:noProof w:val="0"/>
                <w:sz w:val="26"/>
                <w:szCs w:val="26"/>
                <w:rtl/>
              </w:rPr>
              <w:t>ע"י ב"כ עוה"ד</w:t>
            </w:r>
            <w:r w:rsidRPr="00C632FF">
              <w:rPr>
                <w:rFonts w:hint="cs"/>
                <w:noProof w:val="0"/>
                <w:sz w:val="26"/>
                <w:szCs w:val="26"/>
                <w:rtl/>
              </w:rPr>
              <w:t xml:space="preserve"> ברק קדם ואריאל </w:t>
            </w:r>
            <w:proofErr w:type="spellStart"/>
            <w:r w:rsidRPr="00C632FF">
              <w:rPr>
                <w:rFonts w:hint="cs"/>
                <w:noProof w:val="0"/>
                <w:sz w:val="26"/>
                <w:szCs w:val="26"/>
                <w:rtl/>
              </w:rPr>
              <w:t>חיומי</w:t>
            </w:r>
            <w:proofErr w:type="spellEnd"/>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A21FEA" w:rsidP="00C632FF">
            <w:pPr>
              <w:suppressLineNumbers/>
              <w:rPr>
                <w:rFonts w:ascii="Arial" w:hAnsi="Arial"/>
                <w:b/>
                <w:bCs/>
                <w:noProof w:val="0"/>
                <w:sz w:val="26"/>
                <w:szCs w:val="26"/>
              </w:rPr>
            </w:pPr>
            <w:sdt>
              <w:sdtPr>
                <w:rPr>
                  <w:b/>
                  <w:bCs/>
                  <w:rtl/>
                </w:rPr>
                <w:alias w:val="1184"/>
                <w:tag w:val="1184"/>
                <w:id w:val="-340621022"/>
                <w:text w:multiLine="1"/>
              </w:sdtPr>
              <w:sdtEndPr/>
              <w:sdtContent>
                <w:r w:rsidR="00B859C5" w:rsidRPr="00C632FF">
                  <w:rPr>
                    <w:rFonts w:ascii="Arial" w:hAnsi="Arial"/>
                    <w:b/>
                    <w:bCs/>
                    <w:noProof w:val="0"/>
                    <w:sz w:val="26"/>
                    <w:szCs w:val="26"/>
                    <w:rtl/>
                  </w:rPr>
                  <w:t>נתבע</w:t>
                </w:r>
                <w:r w:rsidR="00C632FF" w:rsidRPr="00C632FF">
                  <w:rPr>
                    <w:rFonts w:hint="cs"/>
                    <w:b/>
                    <w:bCs/>
                    <w:rtl/>
                  </w:rPr>
                  <w:t>ת</w:t>
                </w:r>
              </w:sdtContent>
            </w:sdt>
          </w:p>
        </w:tc>
        <w:tc>
          <w:tcPr>
            <w:tcW w:w="5571" w:type="dxa"/>
          </w:tcPr>
          <w:p w:rsidR="00C632FF" w:rsidRDefault="007C2453" w:rsidP="007C2453">
            <w:pPr>
              <w:suppressLineNumbers/>
              <w:rPr>
                <w:rFonts w:ascii="Arial" w:hAnsi="Arial"/>
                <w:b/>
                <w:bCs/>
                <w:noProof w:val="0"/>
                <w:sz w:val="26"/>
                <w:szCs w:val="26"/>
                <w:rtl/>
              </w:rPr>
            </w:pPr>
            <w:r>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B859C5">
                  <w:rPr>
                    <w:rFonts w:ascii="Arial" w:hAnsi="Arial" w:hint="eastAsia"/>
                    <w:b/>
                    <w:bCs/>
                    <w:noProof w:val="0"/>
                    <w:sz w:val="26"/>
                    <w:szCs w:val="26"/>
                    <w:rtl/>
                  </w:rPr>
                  <w:t>הרשות הפלסטינית</w:t>
                </w:r>
              </w:sdtContent>
            </w:sdt>
            <w:r w:rsidR="00B859C5">
              <w:rPr>
                <w:rFonts w:hint="cs"/>
                <w:rtl/>
              </w:rPr>
              <w:t xml:space="preserve"> </w:t>
            </w:r>
          </w:p>
          <w:p w:rsidR="00C632FF" w:rsidRPr="00C632FF" w:rsidRDefault="00C632FF" w:rsidP="007C2453">
            <w:pPr>
              <w:suppressLineNumbers/>
              <w:rPr>
                <w:rFonts w:ascii="Arial" w:hAnsi="Arial"/>
                <w:b/>
                <w:bCs/>
                <w:noProof w:val="0"/>
                <w:sz w:val="6"/>
                <w:szCs w:val="6"/>
                <w:rtl/>
              </w:rPr>
            </w:pPr>
          </w:p>
          <w:p w:rsidR="00CF6BB7" w:rsidRDefault="00C632FF" w:rsidP="007C2453">
            <w:pPr>
              <w:suppressLineNumbers/>
              <w:rPr>
                <w:rtl/>
              </w:rPr>
            </w:pPr>
            <w:r w:rsidRPr="00C632FF">
              <w:rPr>
                <w:rFonts w:ascii="Arial" w:hAnsi="Arial" w:hint="cs"/>
                <w:noProof w:val="0"/>
                <w:sz w:val="26"/>
                <w:szCs w:val="26"/>
                <w:rtl/>
              </w:rPr>
              <w:t xml:space="preserve"> </w:t>
            </w:r>
            <w:r w:rsidR="00B859C5" w:rsidRPr="00C632FF">
              <w:rPr>
                <w:rFonts w:ascii="Arial" w:hAnsi="Arial"/>
                <w:noProof w:val="0"/>
                <w:sz w:val="26"/>
                <w:szCs w:val="26"/>
                <w:rtl/>
              </w:rPr>
              <w:t>ע"י ב"כ עוה"ד</w:t>
            </w:r>
            <w:r w:rsidRPr="00C632FF">
              <w:rPr>
                <w:rFonts w:hint="cs"/>
                <w:rtl/>
              </w:rPr>
              <w:t xml:space="preserve"> נגה </w:t>
            </w:r>
            <w:r>
              <w:rPr>
                <w:rFonts w:hint="cs"/>
                <w:rtl/>
              </w:rPr>
              <w:t xml:space="preserve">מושקוביץ בן שבת </w:t>
            </w:r>
          </w:p>
          <w:p w:rsidR="00C632FF" w:rsidRDefault="00C632FF" w:rsidP="007C2453">
            <w:pPr>
              <w:suppressLineNumbers/>
              <w:rPr>
                <w:rtl/>
              </w:rPr>
            </w:pPr>
          </w:p>
          <w:p w:rsidR="00C632FF" w:rsidRDefault="00C632FF" w:rsidP="007C2453">
            <w:pPr>
              <w:suppressLineNumbers/>
              <w:rPr>
                <w:rtl/>
              </w:rPr>
            </w:pPr>
          </w:p>
          <w:p w:rsidR="00C632FF" w:rsidRPr="009E461A" w:rsidRDefault="00C632FF" w:rsidP="007C2453">
            <w:pPr>
              <w:suppressLineNumbers/>
              <w:rPr>
                <w:rtl/>
              </w:rPr>
            </w:pPr>
          </w:p>
        </w:tc>
      </w:tr>
      <w:tr w:rsidR="00694556" w:rsidRPr="00DE1E7D">
        <w:trPr>
          <w:jc w:val="center"/>
        </w:trPr>
        <w:tc>
          <w:tcPr>
            <w:tcW w:w="8820" w:type="dxa"/>
            <w:gridSpan w:val="3"/>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C632FF" w:rsidRDefault="00C632FF" w:rsidP="00C632FF">
            <w:pPr>
              <w:bidi w:val="0"/>
              <w:jc w:val="center"/>
              <w:rPr>
                <w:rFonts w:ascii="Arial" w:hAnsi="Arial"/>
                <w:b/>
                <w:bCs/>
                <w:noProof w:val="0"/>
                <w:sz w:val="28"/>
                <w:szCs w:val="28"/>
                <w:u w:val="single"/>
                <w:rtl/>
              </w:rPr>
            </w:pPr>
          </w:p>
          <w:p w:rsidR="00C632FF" w:rsidRDefault="00C632FF" w:rsidP="00C632FF">
            <w:pPr>
              <w:bidi w:val="0"/>
              <w:jc w:val="center"/>
              <w:rPr>
                <w:rFonts w:ascii="Arial" w:hAnsi="Arial"/>
                <w:b/>
                <w:bCs/>
                <w:noProof w:val="0"/>
                <w:sz w:val="28"/>
                <w:szCs w:val="28"/>
                <w:u w:val="single"/>
                <w:rtl/>
              </w:rPr>
            </w:pPr>
          </w:p>
          <w:p w:rsidR="00C632FF" w:rsidRDefault="00C632FF" w:rsidP="00C632FF">
            <w:pPr>
              <w:bidi w:val="0"/>
              <w:jc w:val="center"/>
              <w:rPr>
                <w:rFonts w:ascii="Arial" w:hAnsi="Arial"/>
                <w:b/>
                <w:bCs/>
                <w:noProof w:val="0"/>
                <w:sz w:val="28"/>
                <w:szCs w:val="28"/>
                <w:u w:val="single"/>
                <w:rtl/>
              </w:rPr>
            </w:pPr>
          </w:p>
          <w:p w:rsidR="00C632FF" w:rsidRDefault="00C632FF" w:rsidP="00C632FF">
            <w:pPr>
              <w:spacing w:line="360" w:lineRule="auto"/>
              <w:jc w:val="center"/>
              <w:rPr>
                <w:rFonts w:ascii="FrankRuehl" w:hAnsi="FrankRuehl" w:cs="FrankRuehl"/>
                <w:b/>
                <w:bCs/>
                <w:noProof w:val="0"/>
                <w:sz w:val="28"/>
                <w:szCs w:val="28"/>
                <w:u w:val="single"/>
              </w:rPr>
            </w:pPr>
          </w:p>
          <w:p w:rsidR="00C632FF" w:rsidRDefault="00C632FF" w:rsidP="00C632FF">
            <w:pPr>
              <w:spacing w:line="360" w:lineRule="auto"/>
              <w:ind w:firstLine="720"/>
              <w:jc w:val="both"/>
              <w:rPr>
                <w:rFonts w:ascii="FrankRuehl" w:hAnsi="FrankRuehl" w:cs="FrankRuehl"/>
                <w:sz w:val="28"/>
                <w:szCs w:val="28"/>
                <w:rtl/>
              </w:rPr>
            </w:pPr>
            <w:r>
              <w:rPr>
                <w:rFonts w:ascii="FrankRuehl" w:hAnsi="FrankRuehl" w:cs="FrankRuehl"/>
                <w:sz w:val="28"/>
                <w:szCs w:val="28"/>
                <w:rtl/>
              </w:rPr>
              <w:t xml:space="preserve">תביעה לפיצוי בגין נזקי גוף שנגרמו לתובע בעת שנכלא ועונה על ידי הרשות הפלסטינית (להלן: </w:t>
            </w:r>
            <w:r>
              <w:rPr>
                <w:rFonts w:ascii="Miriam" w:hAnsi="Miriam" w:cs="Miriam"/>
                <w:rtl/>
              </w:rPr>
              <w:t>הרש"פ</w:t>
            </w:r>
            <w:r>
              <w:rPr>
                <w:rFonts w:ascii="FrankRuehl" w:hAnsi="FrankRuehl" w:cs="FrankRuehl"/>
                <w:sz w:val="28"/>
                <w:szCs w:val="28"/>
                <w:rtl/>
              </w:rPr>
              <w:t xml:space="preserve">), עקב חשד כי סייע למדינת ישראל בסיכול פעולות טרור. </w:t>
            </w:r>
          </w:p>
          <w:p w:rsidR="00C632FF" w:rsidRPr="00C632FF" w:rsidRDefault="00C632FF" w:rsidP="00C632FF">
            <w:pPr>
              <w:spacing w:line="360" w:lineRule="auto"/>
              <w:ind w:firstLine="720"/>
              <w:jc w:val="both"/>
              <w:rPr>
                <w:rFonts w:ascii="FrankRuehl" w:hAnsi="FrankRuehl" w:cs="FrankRuehl"/>
                <w:sz w:val="16"/>
                <w:szCs w:val="16"/>
                <w:rtl/>
              </w:rPr>
            </w:pPr>
          </w:p>
          <w:p w:rsidR="00C632FF" w:rsidRDefault="00C632FF" w:rsidP="00C632FF">
            <w:pPr>
              <w:pStyle w:val="ad"/>
              <w:spacing w:line="360" w:lineRule="auto"/>
              <w:ind w:left="84"/>
              <w:jc w:val="both"/>
              <w:rPr>
                <w:rFonts w:ascii="FrankRuehl" w:hAnsi="FrankRuehl" w:cs="FrankRuehl"/>
                <w:sz w:val="6"/>
                <w:szCs w:val="6"/>
              </w:rPr>
            </w:pPr>
          </w:p>
          <w:p w:rsidR="00C632FF" w:rsidRDefault="00C632FF" w:rsidP="00C632FF">
            <w:pPr>
              <w:pStyle w:val="ad"/>
              <w:spacing w:line="600" w:lineRule="auto"/>
              <w:ind w:left="84"/>
              <w:jc w:val="both"/>
              <w:rPr>
                <w:rFonts w:ascii="FrankRuehl" w:hAnsi="FrankRuehl" w:cs="FrankRuehl"/>
                <w:b/>
                <w:bCs/>
                <w:sz w:val="28"/>
                <w:szCs w:val="28"/>
                <w:u w:val="single"/>
                <w:rtl/>
              </w:rPr>
            </w:pPr>
            <w:r>
              <w:rPr>
                <w:rFonts w:ascii="FrankRuehl" w:hAnsi="FrankRuehl" w:cs="FrankRuehl"/>
                <w:b/>
                <w:bCs/>
                <w:sz w:val="28"/>
                <w:szCs w:val="28"/>
                <w:u w:val="single"/>
                <w:rtl/>
              </w:rPr>
              <w:t xml:space="preserve">רקע </w:t>
            </w:r>
          </w:p>
          <w:p w:rsidR="00C632FF" w:rsidRPr="00C632FF" w:rsidRDefault="00C632FF" w:rsidP="00C632FF">
            <w:pPr>
              <w:pStyle w:val="ad"/>
              <w:spacing w:line="600" w:lineRule="auto"/>
              <w:ind w:left="84"/>
              <w:jc w:val="both"/>
              <w:rPr>
                <w:rFonts w:ascii="FrankRuehl" w:hAnsi="FrankRuehl" w:cs="FrankRuehl"/>
                <w:b/>
                <w:bCs/>
                <w:sz w:val="2"/>
                <w:szCs w:val="2"/>
                <w:u w:val="single"/>
                <w:rtl/>
              </w:rPr>
            </w:pPr>
          </w:p>
          <w:p w:rsidR="00C632FF" w:rsidRDefault="00C632FF" w:rsidP="00C632FF">
            <w:pPr>
              <w:pStyle w:val="ad"/>
              <w:numPr>
                <w:ilvl w:val="0"/>
                <w:numId w:val="2"/>
              </w:numPr>
              <w:spacing w:line="360" w:lineRule="auto"/>
              <w:ind w:left="84" w:firstLine="0"/>
              <w:jc w:val="both"/>
              <w:rPr>
                <w:rFonts w:ascii="FrankRuehl" w:hAnsi="FrankRuehl" w:cs="FrankRuehl"/>
                <w:sz w:val="28"/>
                <w:szCs w:val="28"/>
              </w:rPr>
            </w:pPr>
            <w:r>
              <w:rPr>
                <w:rFonts w:ascii="FrankRuehl" w:hAnsi="FrankRuehl" w:cs="FrankRuehl"/>
                <w:sz w:val="28"/>
                <w:szCs w:val="28"/>
                <w:rtl/>
              </w:rPr>
              <w:t xml:space="preserve">התובע יליד 26.1.1964 הוא אחד מבין  65 תובעים שהגישו חמש תביעות נגד הרש"פ, בין השנים 2003-2009 (ת"א 5074/03, 6120/04, 7123/05, 2129/08 ו - 3144/09) בטענה כי נחטפו נכלאו ועונו, בין השנים 1996 ועד לשנת 2002,  עקב חשד כי סייעו למדינת ישראל בסיכול פעולות טרור. חמש התביעות אוחדו והדיון בהן פוצל בין שאלת האחריות לשאלת הנזק.   </w:t>
            </w:r>
          </w:p>
          <w:p w:rsidR="00C632FF" w:rsidRDefault="00C632FF" w:rsidP="00C632FF">
            <w:pPr>
              <w:pStyle w:val="ad"/>
              <w:spacing w:line="360" w:lineRule="auto"/>
              <w:ind w:left="84"/>
              <w:jc w:val="both"/>
              <w:rPr>
                <w:rFonts w:ascii="FrankRuehl" w:hAnsi="FrankRuehl" w:cs="FrankRuehl"/>
                <w:sz w:val="28"/>
                <w:szCs w:val="28"/>
                <w:rtl/>
              </w:rPr>
            </w:pPr>
            <w:r>
              <w:rPr>
                <w:rFonts w:ascii="FrankRuehl" w:hAnsi="FrankRuehl" w:cs="FrankRuehl"/>
                <w:sz w:val="28"/>
                <w:szCs w:val="28"/>
                <w:rtl/>
              </w:rPr>
              <w:t xml:space="preserve"> </w:t>
            </w:r>
          </w:p>
          <w:p w:rsidR="00C632FF" w:rsidRDefault="00C632FF" w:rsidP="00C632FF">
            <w:pPr>
              <w:pStyle w:val="ad"/>
              <w:spacing w:line="360" w:lineRule="auto"/>
              <w:ind w:left="84"/>
              <w:jc w:val="both"/>
              <w:rPr>
                <w:rFonts w:ascii="FrankRuehl" w:hAnsi="FrankRuehl" w:cs="FrankRuehl"/>
                <w:sz w:val="2"/>
                <w:szCs w:val="2"/>
              </w:rPr>
            </w:pPr>
          </w:p>
          <w:p w:rsidR="00C632FF" w:rsidRDefault="00C632FF" w:rsidP="00D95D6A">
            <w:pPr>
              <w:pStyle w:val="ad"/>
              <w:numPr>
                <w:ilvl w:val="0"/>
                <w:numId w:val="2"/>
              </w:numPr>
              <w:spacing w:line="360" w:lineRule="auto"/>
              <w:ind w:left="84" w:firstLine="0"/>
              <w:jc w:val="both"/>
              <w:rPr>
                <w:rFonts w:ascii="FrankRuehl" w:hAnsi="FrankRuehl" w:cs="FrankRuehl"/>
                <w:sz w:val="28"/>
                <w:szCs w:val="28"/>
              </w:rPr>
            </w:pPr>
            <w:r>
              <w:rPr>
                <w:rFonts w:ascii="FrankRuehl" w:hAnsi="FrankRuehl" w:cs="FrankRuehl"/>
                <w:sz w:val="28"/>
                <w:szCs w:val="28"/>
                <w:rtl/>
              </w:rPr>
              <w:t xml:space="preserve">בהחלטה מיום 24.4.2017 שבה נדונו עניינם של 54 תובעים (להלן: </w:t>
            </w:r>
            <w:r>
              <w:rPr>
                <w:rFonts w:ascii="Miriam" w:hAnsi="Miriam" w:cs="Miriam"/>
                <w:sz w:val="24"/>
                <w:szCs w:val="24"/>
                <w:rtl/>
              </w:rPr>
              <w:t>החלטת החבות</w:t>
            </w:r>
            <w:r>
              <w:rPr>
                <w:rFonts w:ascii="FrankRuehl" w:hAnsi="FrankRuehl" w:cs="FrankRuehl"/>
                <w:sz w:val="28"/>
                <w:szCs w:val="28"/>
                <w:rtl/>
              </w:rPr>
              <w:t xml:space="preserve">), ובהחלטת חבות משלימה מיום 16.7.2019 (שבה נדונו תביעותיהם של 11 התובעים הנותרים  שנתקו קשר לתקופה </w:t>
            </w:r>
            <w:proofErr w:type="spellStart"/>
            <w:r>
              <w:rPr>
                <w:rFonts w:ascii="FrankRuehl" w:hAnsi="FrankRuehl" w:cs="FrankRuehl"/>
                <w:sz w:val="28"/>
                <w:szCs w:val="28"/>
                <w:rtl/>
              </w:rPr>
              <w:t>מסויימת</w:t>
            </w:r>
            <w:proofErr w:type="spellEnd"/>
            <w:r>
              <w:rPr>
                <w:rFonts w:ascii="FrankRuehl" w:hAnsi="FrankRuehl" w:cs="FrankRuehl"/>
                <w:sz w:val="28"/>
                <w:szCs w:val="28"/>
                <w:rtl/>
              </w:rPr>
              <w:t xml:space="preserve"> ולכן עניינם נדון בנפרד), קבע כב' סגן הנשיא (בדימוס) </w:t>
            </w:r>
            <w:r>
              <w:rPr>
                <w:rFonts w:ascii="Miriam" w:hAnsi="Miriam" w:cs="Miriam"/>
                <w:sz w:val="24"/>
                <w:szCs w:val="24"/>
                <w:rtl/>
              </w:rPr>
              <w:t>מ' דרורי</w:t>
            </w:r>
            <w:r>
              <w:rPr>
                <w:rFonts w:ascii="FrankRuehl" w:hAnsi="FrankRuehl" w:cs="FrankRuehl"/>
                <w:sz w:val="28"/>
                <w:szCs w:val="28"/>
                <w:rtl/>
              </w:rPr>
              <w:t xml:space="preserve"> כי התובע ו -  59  תובעים נוספים, נעצרו באופן בלתי חוקי על ידי הרש"פ בחשד כי שתפו פעולה עם ישראל, וכי הוכח כבר בשלב זה "</w:t>
            </w:r>
            <w:r>
              <w:rPr>
                <w:rFonts w:ascii="Miriam" w:hAnsi="Miriam" w:cs="Miriam"/>
                <w:sz w:val="24"/>
                <w:szCs w:val="24"/>
                <w:rtl/>
              </w:rPr>
              <w:t>בראשית ראיה</w:t>
            </w:r>
            <w:r>
              <w:rPr>
                <w:rFonts w:ascii="FrankRuehl" w:hAnsi="FrankRuehl" w:cs="FrankRuehl"/>
                <w:sz w:val="28"/>
                <w:szCs w:val="28"/>
                <w:rtl/>
              </w:rPr>
              <w:t xml:space="preserve">" שהתובעים אכן עונו על ידי אנשי הרש"פ בזמן כליאתם, ולכן הם זכאים לתבוע את נזקיהם מכוח עילת התקיפה. בית המשפט ציין בהחלטתו כי </w:t>
            </w:r>
            <w:r>
              <w:rPr>
                <w:rFonts w:ascii="FrankRuehl" w:hAnsi="FrankRuehl" w:cs="FrankRuehl"/>
                <w:sz w:val="28"/>
                <w:szCs w:val="28"/>
                <w:rtl/>
              </w:rPr>
              <w:lastRenderedPageBreak/>
              <w:t>"</w:t>
            </w:r>
            <w:r>
              <w:rPr>
                <w:rFonts w:ascii="Miriam" w:hAnsi="Miriam" w:cs="Miriam"/>
                <w:sz w:val="24"/>
                <w:szCs w:val="24"/>
                <w:rtl/>
              </w:rPr>
              <w:t>כדי לפסוק פיצוי קונקרטי של סכומי כסף, יש להוכיח את הפרטים של כל עינוי ועינוי, ומה היו תוצאותיו הבריאותיות, מבחינת אחוזי נכות, אבדן תפקוד ועוד. בשלב זה של קביעת אחריות לעצם העינוי, די בראשית ראיה על העינויים, כאשר עיקר הראיות יובאו בשלב הבא של הדיון על גובה הנזק</w:t>
            </w:r>
            <w:r>
              <w:rPr>
                <w:rFonts w:ascii="FrankRuehl" w:hAnsi="FrankRuehl" w:cs="FrankRuehl"/>
                <w:sz w:val="28"/>
                <w:szCs w:val="28"/>
                <w:rtl/>
              </w:rPr>
              <w:t>" (שם, בפסקה 656). כן הובהר בהמשך  כך:</w:t>
            </w:r>
          </w:p>
          <w:p w:rsidR="00C632FF" w:rsidRDefault="00C632FF" w:rsidP="00C632FF">
            <w:pPr>
              <w:spacing w:line="360" w:lineRule="auto"/>
              <w:jc w:val="both"/>
              <w:rPr>
                <w:rFonts w:ascii="FrankRuehl" w:hAnsi="FrankRuehl" w:cs="FrankRuehl"/>
                <w:sz w:val="2"/>
                <w:szCs w:val="2"/>
              </w:rPr>
            </w:pPr>
          </w:p>
          <w:p w:rsidR="00C632FF" w:rsidRDefault="00C632FF" w:rsidP="00C632FF">
            <w:pPr>
              <w:pStyle w:val="Ruller5"/>
              <w:rPr>
                <w:rtl/>
              </w:rPr>
            </w:pPr>
            <w:r>
              <w:rPr>
                <w:rtl/>
              </w:rPr>
              <w:t>"ראיות לעניין האחריות או החבות, נשמעו בפניי לעניין כליאת השווא, ואילו לגבי העינויים הסתפקתי רק ב"ראשית ראיה", שיהיה בכוחה לסווג את התובע כמי שרשאי להמשיך ולהביא ראיות לעניין נזקיו שנבעו מהעינויים. הראיות לעניין חומרת העינויים ובמיוחד ההשלכות הרפואיות והתפקודיות של העינויים על כל תובע ותובע, לפי נסיבותיו - יישמעו במלואם בשלב השני" (</w:t>
            </w:r>
            <w:r>
              <w:rPr>
                <w:rFonts w:ascii="FrankRuehl" w:hAnsi="FrankRuehl"/>
                <w:b/>
                <w:spacing w:val="0"/>
                <w:sz w:val="28"/>
                <w:rtl/>
              </w:rPr>
              <w:t>שם</w:t>
            </w:r>
            <w:r>
              <w:rPr>
                <w:rtl/>
              </w:rPr>
              <w:t>, בפסקה 677).</w:t>
            </w:r>
          </w:p>
          <w:p w:rsidR="00C632FF" w:rsidRDefault="00C632FF" w:rsidP="00C632FF">
            <w:pPr>
              <w:pStyle w:val="Ruller5"/>
              <w:rPr>
                <w:rtl/>
              </w:rPr>
            </w:pPr>
          </w:p>
          <w:p w:rsidR="00C632FF" w:rsidRDefault="00C632FF" w:rsidP="00C632FF">
            <w:pPr>
              <w:spacing w:line="360" w:lineRule="auto"/>
              <w:jc w:val="both"/>
              <w:rPr>
                <w:rFonts w:ascii="FrankRuehl" w:hAnsi="FrankRuehl" w:cs="FrankRuehl"/>
                <w:sz w:val="4"/>
                <w:szCs w:val="4"/>
                <w:rtl/>
              </w:rPr>
            </w:pPr>
            <w:r>
              <w:rPr>
                <w:rFonts w:ascii="FrankRuehl" w:hAnsi="FrankRuehl" w:cs="FrankRuehl"/>
                <w:sz w:val="28"/>
                <w:szCs w:val="28"/>
                <w:rtl/>
              </w:rPr>
              <w:t xml:space="preserve"> </w:t>
            </w:r>
          </w:p>
          <w:p w:rsidR="00C632FF" w:rsidRDefault="00C632FF" w:rsidP="00C632FF">
            <w:pPr>
              <w:pStyle w:val="ad"/>
              <w:numPr>
                <w:ilvl w:val="0"/>
                <w:numId w:val="2"/>
              </w:numPr>
              <w:spacing w:line="360" w:lineRule="auto"/>
              <w:ind w:left="84" w:firstLine="0"/>
              <w:jc w:val="both"/>
              <w:rPr>
                <w:rFonts w:ascii="FrankRuehl" w:hAnsi="FrankRuehl" w:cs="FrankRuehl"/>
                <w:sz w:val="28"/>
                <w:szCs w:val="28"/>
              </w:rPr>
            </w:pPr>
            <w:r>
              <w:rPr>
                <w:rFonts w:ascii="FrankRuehl" w:hAnsi="FrankRuehl" w:cs="FrankRuehl"/>
                <w:sz w:val="28"/>
                <w:szCs w:val="28"/>
                <w:rtl/>
              </w:rPr>
              <w:t xml:space="preserve">ביום 28.6.2018 ניתן לבקשת התובעים פסק דין חלקי בעילה של כליאת שווא ונפסק שכל אחד מן התובעים זכאי לסכום של 422 ₪ בגין כל יום שבו הוא היה כלוא (בהתאם לשיעור הפיצוי הקבוע בתקנה 8 לתקנות סדר הדין הפלילי (פיצויים בשל מעצר או מאסר, </w:t>
            </w:r>
            <w:proofErr w:type="spellStart"/>
            <w:r>
              <w:rPr>
                <w:rFonts w:ascii="FrankRuehl" w:hAnsi="FrankRuehl" w:cs="FrankRuehl"/>
                <w:sz w:val="28"/>
                <w:szCs w:val="28"/>
                <w:rtl/>
              </w:rPr>
              <w:t>התשמ"ב</w:t>
            </w:r>
            <w:proofErr w:type="spellEnd"/>
            <w:r>
              <w:rPr>
                <w:rFonts w:ascii="FrankRuehl" w:hAnsi="FrankRuehl" w:cs="FrankRuehl"/>
                <w:sz w:val="28"/>
                <w:szCs w:val="28"/>
                <w:rtl/>
              </w:rPr>
              <w:t xml:space="preserve"> - 1982)(להלן: </w:t>
            </w:r>
            <w:r>
              <w:rPr>
                <w:rFonts w:ascii="Miriam" w:hAnsi="Miriam" w:cs="Miriam"/>
                <w:sz w:val="24"/>
                <w:szCs w:val="24"/>
                <w:rtl/>
              </w:rPr>
              <w:t>פסק הדין החלקי</w:t>
            </w:r>
            <w:r>
              <w:rPr>
                <w:rFonts w:ascii="FrankRuehl" w:hAnsi="FrankRuehl" w:cs="FrankRuehl"/>
                <w:sz w:val="28"/>
                <w:szCs w:val="28"/>
                <w:rtl/>
              </w:rPr>
              <w:t xml:space="preserve">). בכל הנוגע לתובע שבפניי נקבע במסגרת החלטת החבות שהוא  היה כלוא שלא כדין מיום 18.4.2001 ועד ליום 28.5.2002 במשך 405 ימים (פסקה 866 להחלטת החבות) וכפועל יוצא נפסק לתובע במסגרת פסק הדין החלקי בגין כליאת השווא, פיצוי בסך 170,910 ₪ (נכון ליום מתן פסק הדין החלקי). </w:t>
            </w:r>
          </w:p>
          <w:p w:rsidR="00C632FF" w:rsidRDefault="00C632FF" w:rsidP="00C632FF">
            <w:pPr>
              <w:pStyle w:val="ad"/>
              <w:spacing w:line="360" w:lineRule="auto"/>
              <w:ind w:left="84"/>
              <w:jc w:val="both"/>
              <w:rPr>
                <w:rFonts w:ascii="FrankRuehl" w:hAnsi="FrankRuehl" w:cs="FrankRuehl"/>
                <w:sz w:val="28"/>
                <w:szCs w:val="28"/>
              </w:rPr>
            </w:pPr>
          </w:p>
          <w:p w:rsidR="00C632FF" w:rsidRDefault="00C632FF" w:rsidP="00C632FF">
            <w:pPr>
              <w:pStyle w:val="ad"/>
              <w:spacing w:line="360" w:lineRule="auto"/>
              <w:ind w:left="84"/>
              <w:jc w:val="both"/>
              <w:rPr>
                <w:rFonts w:ascii="FrankRuehl" w:hAnsi="FrankRuehl" w:cs="FrankRuehl"/>
                <w:sz w:val="4"/>
                <w:szCs w:val="4"/>
              </w:rPr>
            </w:pPr>
          </w:p>
          <w:p w:rsidR="00C632FF" w:rsidRPr="00C632FF" w:rsidRDefault="00C632FF" w:rsidP="00C632FF">
            <w:pPr>
              <w:pStyle w:val="ad"/>
              <w:numPr>
                <w:ilvl w:val="0"/>
                <w:numId w:val="2"/>
              </w:numPr>
              <w:spacing w:line="360" w:lineRule="auto"/>
              <w:ind w:left="84" w:firstLine="0"/>
              <w:jc w:val="both"/>
              <w:rPr>
                <w:rFonts w:ascii="FrankRuehl" w:hAnsi="FrankRuehl" w:cs="FrankRuehl"/>
                <w:sz w:val="2"/>
                <w:szCs w:val="2"/>
              </w:rPr>
            </w:pPr>
            <w:r>
              <w:rPr>
                <w:rFonts w:ascii="FrankRuehl" w:hAnsi="FrankRuehl" w:cs="FrankRuehl"/>
                <w:sz w:val="28"/>
                <w:szCs w:val="28"/>
                <w:rtl/>
              </w:rPr>
              <w:t xml:space="preserve">ביום 19.11.2018 הורה כב' השופט </w:t>
            </w:r>
            <w:r>
              <w:rPr>
                <w:rFonts w:ascii="Miriam" w:hAnsi="Miriam" w:cs="Miriam"/>
                <w:sz w:val="24"/>
                <w:szCs w:val="24"/>
                <w:rtl/>
              </w:rPr>
              <w:t xml:space="preserve">דרורי </w:t>
            </w:r>
            <w:r>
              <w:rPr>
                <w:rFonts w:ascii="FrankRuehl" w:hAnsi="FrankRuehl" w:cs="FrankRuehl"/>
                <w:sz w:val="28"/>
                <w:szCs w:val="28"/>
                <w:rtl/>
              </w:rPr>
              <w:t xml:space="preserve">על מינוי שני מומחים רפואיים לכל תובע. האחד בתחום הפסיכיאטריה והשני בתחום האורתופדיה (החלטה מיום 19.11.2018 בת"א  5074/03, להלן: </w:t>
            </w:r>
            <w:r>
              <w:rPr>
                <w:rFonts w:ascii="Miriam" w:hAnsi="Miriam" w:cs="Miriam"/>
                <w:sz w:val="24"/>
                <w:szCs w:val="24"/>
                <w:rtl/>
              </w:rPr>
              <w:t>החלטת המינוי</w:t>
            </w:r>
            <w:r>
              <w:rPr>
                <w:rFonts w:ascii="FrankRuehl" w:hAnsi="FrankRuehl" w:cs="FrankRuehl"/>
                <w:sz w:val="28"/>
                <w:szCs w:val="28"/>
                <w:rtl/>
              </w:rPr>
              <w:t>). בהחלטה יוצאת דופן ויעילה במיוחד, קבע כב' השופט דרורי כך: "</w:t>
            </w:r>
            <w:r>
              <w:rPr>
                <w:rFonts w:ascii="Miriam" w:hAnsi="Miriam" w:cs="Miriam"/>
                <w:sz w:val="24"/>
                <w:szCs w:val="24"/>
                <w:rtl/>
              </w:rPr>
              <w:t>לאחר שנתנה החלטת חבות הקובעת כי תובע פלוני נכלא שלא כדין ועונה במובן זה שהוכחה עילת התביעה של תקיפה, כי אז יש ראיה לכאורה שאדם כזה סבל מנזק אורתופדי. כמו כן במסגרת החלטת החבות נקבע כי כל אחד מן התובעים סבל נזק נפשי ופסיכולוגי במהלך הכליאה והעינויים</w:t>
            </w:r>
            <w:r>
              <w:rPr>
                <w:rFonts w:ascii="FrankRuehl" w:hAnsi="FrankRuehl" w:cs="FrankRuehl"/>
                <w:sz w:val="28"/>
                <w:szCs w:val="28"/>
                <w:rtl/>
              </w:rPr>
              <w:t xml:space="preserve">". לכן מונו כאמור שני מומחים רפואיים לכל תובע וזאת מבלי שהתובעים הגישו תחילה חוות דעת רפואיות מטעמם (כנדרש בדרך כלל בהליך נזיקי שאינו תוצאה של תאונת דרכים). הרש"פ השיגה על ההחלטה ובית המשפט העליון אישר את ההחלטה במלואה למרות חריגותה. כב' השופט </w:t>
            </w:r>
            <w:r>
              <w:rPr>
                <w:rFonts w:ascii="Miriam" w:hAnsi="Miriam" w:cs="Miriam"/>
                <w:sz w:val="24"/>
                <w:szCs w:val="24"/>
                <w:rtl/>
              </w:rPr>
              <w:t>י' עמית</w:t>
            </w:r>
            <w:r>
              <w:rPr>
                <w:rFonts w:ascii="FrankRuehl" w:hAnsi="FrankRuehl" w:cs="FrankRuehl"/>
                <w:sz w:val="28"/>
                <w:szCs w:val="28"/>
                <w:rtl/>
              </w:rPr>
              <w:t xml:space="preserve">  ציין בהחלטתו כי אף שדרך המלך הייתה ועודנה הגשת חוות דעת מטעם התובעים בהליך נזיקי, נוכח מאפייניו של הליך מיוחד זה, כתביעה המונית "</w:t>
            </w:r>
            <w:r>
              <w:rPr>
                <w:rFonts w:ascii="Miriam" w:hAnsi="Miriam" w:cs="Miriam"/>
                <w:sz w:val="24"/>
                <w:szCs w:val="24"/>
                <w:rtl/>
              </w:rPr>
              <w:t xml:space="preserve">ובהינתן הכרעתו </w:t>
            </w:r>
            <w:r>
              <w:rPr>
                <w:rFonts w:ascii="Miriam" w:hAnsi="Miriam" w:cs="Miriam"/>
                <w:b/>
                <w:bCs/>
                <w:sz w:val="24"/>
                <w:szCs w:val="24"/>
                <w:u w:val="single"/>
                <w:rtl/>
              </w:rPr>
              <w:t>הנחרצת</w:t>
            </w:r>
            <w:r>
              <w:rPr>
                <w:rFonts w:ascii="Miriam" w:hAnsi="Miriam" w:cs="Miriam"/>
                <w:sz w:val="24"/>
                <w:szCs w:val="24"/>
                <w:rtl/>
              </w:rPr>
              <w:t xml:space="preserve"> של בית </w:t>
            </w:r>
            <w:r>
              <w:rPr>
                <w:rFonts w:ascii="Miriam" w:hAnsi="Miriam" w:cs="Miriam"/>
                <w:sz w:val="24"/>
                <w:szCs w:val="24"/>
                <w:rtl/>
              </w:rPr>
              <w:lastRenderedPageBreak/>
              <w:t>משפט קמא בדבר מסכת העינויים שעבר כל אחד מהמשיבים, יש לראות בכך ראשית ראיה לנזקים האורתופדיים והנפשיים לקורבנות העינויים"</w:t>
            </w:r>
            <w:r>
              <w:rPr>
                <w:rFonts w:ascii="FrankRuehl" w:hAnsi="FrankRuehl" w:cs="FrankRuehl"/>
                <w:sz w:val="28"/>
                <w:szCs w:val="28"/>
                <w:rtl/>
              </w:rPr>
              <w:t xml:space="preserve">(רע"א 8521/18 </w:t>
            </w:r>
            <w:r>
              <w:rPr>
                <w:rFonts w:ascii="Miriam" w:hAnsi="Miriam" w:cs="Miriam"/>
                <w:sz w:val="24"/>
                <w:szCs w:val="24"/>
                <w:rtl/>
              </w:rPr>
              <w:t>הרשות הפלסטינית נ' פלוני ואח'</w:t>
            </w:r>
            <w:r>
              <w:rPr>
                <w:rFonts w:ascii="FrankRuehl" w:hAnsi="FrankRuehl" w:cs="FrankRuehl"/>
                <w:sz w:val="28"/>
                <w:szCs w:val="28"/>
                <w:rtl/>
              </w:rPr>
              <w:t xml:space="preserve"> (21.1.2019), פסקה 14)[ ההדגשה הוספה מ.א]</w:t>
            </w:r>
            <w:r>
              <w:rPr>
                <w:rFonts w:ascii="FrankRuehl" w:hAnsi="FrankRuehl" w:cs="FrankRuehl" w:hint="cs"/>
                <w:sz w:val="28"/>
                <w:szCs w:val="28"/>
                <w:rtl/>
              </w:rPr>
              <w:t>.</w:t>
            </w:r>
          </w:p>
          <w:p w:rsidR="00C632FF" w:rsidRDefault="00C632FF" w:rsidP="00C632FF">
            <w:pPr>
              <w:pStyle w:val="ad"/>
              <w:numPr>
                <w:ilvl w:val="0"/>
                <w:numId w:val="2"/>
              </w:numPr>
              <w:spacing w:line="360" w:lineRule="auto"/>
              <w:ind w:left="84" w:firstLine="0"/>
              <w:jc w:val="both"/>
              <w:rPr>
                <w:rFonts w:ascii="FrankRuehl" w:hAnsi="FrankRuehl" w:cs="FrankRuehl"/>
                <w:sz w:val="2"/>
                <w:szCs w:val="2"/>
              </w:rPr>
            </w:pPr>
          </w:p>
          <w:p w:rsidR="00C632FF" w:rsidRPr="00C632FF" w:rsidRDefault="00D95D6A" w:rsidP="00C632FF">
            <w:pPr>
              <w:spacing w:line="360" w:lineRule="auto"/>
              <w:ind w:left="142"/>
              <w:jc w:val="both"/>
              <w:rPr>
                <w:rFonts w:ascii="FrankRuehl" w:hAnsi="FrankRuehl" w:cs="FrankRuehl"/>
                <w:sz w:val="28"/>
                <w:szCs w:val="28"/>
              </w:rPr>
            </w:pPr>
            <w:r>
              <w:rPr>
                <w:rFonts w:ascii="FrankRuehl" w:hAnsi="FrankRuehl" w:cs="FrankRuehl"/>
                <w:sz w:val="28"/>
                <w:szCs w:val="28"/>
              </w:rPr>
              <w:t>4</w:t>
            </w:r>
            <w:r>
              <w:rPr>
                <w:rFonts w:ascii="FrankRuehl" w:hAnsi="FrankRuehl" w:cs="FrankRuehl" w:hint="cs"/>
                <w:sz w:val="28"/>
                <w:szCs w:val="28"/>
                <w:rtl/>
              </w:rPr>
              <w:t xml:space="preserve">.       </w:t>
            </w:r>
            <w:r w:rsidR="00C632FF" w:rsidRPr="00C632FF">
              <w:rPr>
                <w:rFonts w:ascii="FrankRuehl" w:hAnsi="FrankRuehl" w:cs="FrankRuehl"/>
                <w:sz w:val="28"/>
                <w:szCs w:val="28"/>
                <w:rtl/>
              </w:rPr>
              <w:t xml:space="preserve">לאחר החלטת המינוי, הוחלט על פיצול תביעותיהם של התובעים ל - 60 הליכים נפרדים, על מנת שניתן יהיה לדון בנזקו הספציפי של כל תובע בנפרד. הליך זה הוא ההליך הראשון מבין 60 ההליכים שהבשיל לכדי כתיבת פסק דין. יתר ההליכים נמצאים בשלבים שונים. לגבי כמחצית מהם הושלם שלב הגשת חוות הדעת (שמתעכב, בין היתר אך לא רק, משום שחלק ניכר מהתובעים בקשו שימונו מומחים בתחומי רפואה נוספים).   </w:t>
            </w:r>
          </w:p>
          <w:p w:rsidR="00C632FF" w:rsidRDefault="00C632FF" w:rsidP="00C632FF">
            <w:pPr>
              <w:pStyle w:val="ad"/>
              <w:rPr>
                <w:rFonts w:ascii="FrankRuehl" w:hAnsi="FrankRuehl" w:cs="FrankRuehl"/>
                <w:sz w:val="2"/>
                <w:szCs w:val="2"/>
              </w:rPr>
            </w:pPr>
          </w:p>
          <w:p w:rsidR="00C632FF" w:rsidRDefault="00C632FF" w:rsidP="00C632FF">
            <w:pPr>
              <w:pStyle w:val="ad"/>
              <w:spacing w:line="360" w:lineRule="auto"/>
              <w:ind w:left="84"/>
              <w:jc w:val="both"/>
              <w:rPr>
                <w:rFonts w:ascii="FrankRuehl" w:hAnsi="FrankRuehl" w:cs="FrankRuehl"/>
                <w:sz w:val="2"/>
                <w:szCs w:val="2"/>
                <w:rtl/>
              </w:rPr>
            </w:pPr>
          </w:p>
          <w:p w:rsidR="00C632FF" w:rsidRDefault="00D95D6A" w:rsidP="00D95D6A">
            <w:pPr>
              <w:pStyle w:val="Ruller41"/>
              <w:ind w:left="142"/>
              <w:rPr>
                <w:rFonts w:ascii="FrankRuehl" w:hAnsi="FrankRuehl"/>
                <w:sz w:val="28"/>
              </w:rPr>
            </w:pPr>
            <w:r>
              <w:rPr>
                <w:rFonts w:hint="cs"/>
                <w:rtl/>
              </w:rPr>
              <w:t xml:space="preserve">5.        </w:t>
            </w:r>
            <w:r w:rsidR="00C632FF">
              <w:rPr>
                <w:rtl/>
              </w:rPr>
              <w:t xml:space="preserve">במקביל לדיון הפרטני המתנהל בשאלת הנזק, הוגשו על פסק הדין החלקי שלושה ערעורים לבית המשפט העליון (ע"א 5105/17, 6840/18, 6966/18 </w:t>
            </w:r>
            <w:r w:rsidR="00C632FF">
              <w:rPr>
                <w:rFonts w:ascii="Miriam" w:hAnsi="Miriam" w:cs="Miriam"/>
                <w:sz w:val="24"/>
                <w:szCs w:val="24"/>
                <w:rtl/>
              </w:rPr>
              <w:t>פלונים נ' הרשות הפלסטינית</w:t>
            </w:r>
            <w:r w:rsidR="00C632FF">
              <w:rPr>
                <w:rtl/>
              </w:rPr>
              <w:t xml:space="preserve"> (11.5.2021) (להלן: עניין </w:t>
            </w:r>
            <w:r w:rsidR="00C632FF">
              <w:rPr>
                <w:rFonts w:ascii="Miriam" w:hAnsi="Miriam" w:cs="Miriam"/>
                <w:sz w:val="24"/>
                <w:szCs w:val="24"/>
                <w:rtl/>
              </w:rPr>
              <w:t>פלונים</w:t>
            </w:r>
            <w:r w:rsidR="00C632FF">
              <w:rPr>
                <w:rtl/>
              </w:rPr>
              <w:t xml:space="preserve">). במסגרת פסק הדין בעניין </w:t>
            </w:r>
            <w:r w:rsidR="00C632FF">
              <w:rPr>
                <w:rFonts w:ascii="Miriam" w:hAnsi="Miriam" w:cs="Miriam"/>
                <w:sz w:val="24"/>
                <w:szCs w:val="24"/>
                <w:rtl/>
              </w:rPr>
              <w:t>פלונים</w:t>
            </w:r>
            <w:r w:rsidR="00C632FF">
              <w:rPr>
                <w:rtl/>
              </w:rPr>
              <w:t xml:space="preserve"> דחה בית המשפט העליון (כב' השופט </w:t>
            </w:r>
            <w:r w:rsidR="00C632FF">
              <w:rPr>
                <w:rFonts w:ascii="Miriam" w:hAnsi="Miriam" w:cs="Miriam"/>
                <w:sz w:val="24"/>
                <w:szCs w:val="24"/>
                <w:rtl/>
              </w:rPr>
              <w:t>י' עמית</w:t>
            </w:r>
            <w:r w:rsidR="00C632FF">
              <w:rPr>
                <w:rtl/>
              </w:rPr>
              <w:t xml:space="preserve">) את טענת הרש"פ לעניין הפורום הנאות וקבע כי בית המשפט בישראל הוא הפורום הנאות לדון בתובענות של מי שטוען שסייע לישראל בסיכול טרור. כן נדחו טענות הרש"פ להעדר שפיטות או חסינות (עניין </w:t>
            </w:r>
            <w:r w:rsidR="00C632FF">
              <w:rPr>
                <w:rFonts w:ascii="Miriam" w:hAnsi="Miriam" w:cs="Miriam"/>
                <w:sz w:val="24"/>
                <w:szCs w:val="24"/>
                <w:rtl/>
              </w:rPr>
              <w:t>פלונים</w:t>
            </w:r>
            <w:r w:rsidR="00C632FF">
              <w:rPr>
                <w:rtl/>
              </w:rPr>
              <w:t xml:space="preserve">, פסקה 10). אשר לסמכות של הרש"פ לכלוא את התובעים בשל "בגידתם" ברש"פ, </w:t>
            </w:r>
            <w:proofErr w:type="spellStart"/>
            <w:r w:rsidR="00C632FF">
              <w:rPr>
                <w:rtl/>
              </w:rPr>
              <w:t>צויין</w:t>
            </w:r>
            <w:proofErr w:type="spellEnd"/>
            <w:r w:rsidR="00C632FF">
              <w:rPr>
                <w:rtl/>
              </w:rPr>
              <w:t xml:space="preserve"> כי "</w:t>
            </w:r>
            <w:r w:rsidR="00C632FF">
              <w:rPr>
                <w:rFonts w:ascii="Miriam" w:hAnsi="Miriam" w:cs="Miriam"/>
                <w:sz w:val="24"/>
                <w:szCs w:val="24"/>
                <w:rtl/>
              </w:rPr>
              <w:t>בכל הנוגע למשיבים שהיו ישראלים בעת מעצרם או שנעצרו בשטח בריבונות ישראלית (כמו מזרח ירושלים) או שנעצרו בשטח</w:t>
            </w:r>
            <w:r w:rsidR="00C632FF">
              <w:rPr>
                <w:rFonts w:ascii="Miriam" w:hAnsi="Miriam" w:cs="Miriam"/>
                <w:sz w:val="24"/>
                <w:szCs w:val="24"/>
              </w:rPr>
              <w:t xml:space="preserve">C </w:t>
            </w:r>
            <w:r w:rsidR="00C632FF">
              <w:rPr>
                <w:rFonts w:ascii="Miriam" w:hAnsi="Miriam" w:cs="Miriam"/>
                <w:sz w:val="24"/>
                <w:szCs w:val="24"/>
                <w:rtl/>
              </w:rPr>
              <w:t>, ברי כי אין לרש"פ סמכות כליאה ומעצר לגביהם</w:t>
            </w:r>
            <w:r w:rsidR="00C632FF">
              <w:rPr>
                <w:rtl/>
              </w:rPr>
              <w:t xml:space="preserve">" (שם, פסקה 13). בכל הנוגע למשיבים שאינם אזרחים ישראלים, ציין בית המשפט העליון כי בהתאם להסכם הביניים הישראלי - פלסטיני בדבר הגדה המערבית ורצועת עזה (להלן: </w:t>
            </w:r>
            <w:r w:rsidR="00C632FF">
              <w:rPr>
                <w:rFonts w:ascii="Miriam" w:hAnsi="Miriam" w:cs="Miriam"/>
                <w:sz w:val="24"/>
                <w:szCs w:val="24"/>
                <w:rtl/>
              </w:rPr>
              <w:t>הסכם הביניים)</w:t>
            </w:r>
            <w:r w:rsidR="00C632FF">
              <w:rPr>
                <w:rtl/>
              </w:rPr>
              <w:t xml:space="preserve">, שיושם במשפט הפנימי באזור יהודה ושומרון, על ידי מפקד האזור שהוציא צו מיוחד ליישום ההסכם: מנשר בדבר יישום הסכם הביניים (יהודה והשומרון), </w:t>
            </w:r>
            <w:proofErr w:type="spellStart"/>
            <w:r w:rsidR="00C632FF">
              <w:rPr>
                <w:rtl/>
              </w:rPr>
              <w:t>התשנ"ו</w:t>
            </w:r>
            <w:proofErr w:type="spellEnd"/>
            <w:r w:rsidR="00C632FF">
              <w:rPr>
                <w:rtl/>
              </w:rPr>
              <w:t xml:space="preserve"> - 1995 </w:t>
            </w:r>
            <w:r w:rsidR="00C632FF">
              <w:rPr>
                <w:rFonts w:ascii="Miriam" w:hAnsi="Miriam" w:cs="Miriam"/>
                <w:sz w:val="24"/>
                <w:szCs w:val="24"/>
                <w:rtl/>
              </w:rPr>
              <w:t>"אין לרש"פ סמכות לעצור ולחקור מי שחשוד בשיתוף פעולה עם ישראל</w:t>
            </w:r>
            <w:r w:rsidR="00C632FF">
              <w:rPr>
                <w:rFonts w:ascii="Century" w:hAnsi="Century"/>
                <w:rtl/>
              </w:rPr>
              <w:t xml:space="preserve">" (שם, פסקה 14). כפועל יוצא אישר בית המשפט העליון את קביעותיו של כב' השופט </w:t>
            </w:r>
            <w:r w:rsidR="00C632FF">
              <w:rPr>
                <w:rFonts w:ascii="Miriam" w:hAnsi="Miriam" w:cs="Miriam"/>
                <w:sz w:val="24"/>
                <w:szCs w:val="24"/>
                <w:rtl/>
              </w:rPr>
              <w:t>דרורי</w:t>
            </w:r>
            <w:r w:rsidR="00C632FF">
              <w:rPr>
                <w:rFonts w:ascii="Century" w:hAnsi="Century"/>
                <w:rtl/>
              </w:rPr>
              <w:t>, לפיהן התובעים שהיו אזרחי ישראל בזמן מעצרם וכן התובעים שנעצרו בחשר לסיוע לישראל בסיכול טרור, נעצרו ללא סמכות וזכאים לפיצוי בגין כליאת שווא.</w:t>
            </w:r>
          </w:p>
          <w:p w:rsidR="00C632FF" w:rsidRDefault="00C632FF" w:rsidP="00C632FF">
            <w:pPr>
              <w:pStyle w:val="Ruller41"/>
              <w:ind w:left="84"/>
              <w:rPr>
                <w:rFonts w:ascii="FrankRuehl" w:hAnsi="FrankRuehl"/>
                <w:sz w:val="28"/>
              </w:rPr>
            </w:pPr>
            <w:r>
              <w:rPr>
                <w:rFonts w:ascii="FrankRuehl" w:hAnsi="FrankRuehl"/>
                <w:sz w:val="28"/>
                <w:rtl/>
              </w:rPr>
              <w:t xml:space="preserve"> </w:t>
            </w:r>
          </w:p>
          <w:p w:rsidR="00C632FF" w:rsidRDefault="00C632FF" w:rsidP="00C632FF">
            <w:pPr>
              <w:pStyle w:val="Ruller41"/>
              <w:ind w:left="84"/>
              <w:rPr>
                <w:rFonts w:ascii="FrankRuehl" w:hAnsi="FrankRuehl"/>
                <w:sz w:val="8"/>
                <w:szCs w:val="8"/>
              </w:rPr>
            </w:pPr>
            <w:r>
              <w:rPr>
                <w:rFonts w:ascii="FrankRuehl" w:hAnsi="FrankRuehl"/>
                <w:sz w:val="8"/>
                <w:szCs w:val="8"/>
                <w:rtl/>
              </w:rPr>
              <w:t>]</w:t>
            </w:r>
          </w:p>
          <w:p w:rsidR="00C632FF" w:rsidRDefault="00C632FF" w:rsidP="00C632FF">
            <w:pPr>
              <w:pStyle w:val="ad"/>
              <w:numPr>
                <w:ilvl w:val="0"/>
                <w:numId w:val="2"/>
              </w:numPr>
              <w:spacing w:line="360" w:lineRule="auto"/>
              <w:ind w:left="84" w:firstLine="0"/>
              <w:jc w:val="both"/>
              <w:rPr>
                <w:rFonts w:ascii="FrankRuehl" w:hAnsi="FrankRuehl" w:cs="FrankRuehl"/>
                <w:sz w:val="28"/>
                <w:szCs w:val="28"/>
              </w:rPr>
            </w:pPr>
            <w:r>
              <w:rPr>
                <w:rFonts w:ascii="FrankRuehl" w:hAnsi="FrankRuehl" w:cs="FrankRuehl"/>
                <w:sz w:val="28"/>
                <w:szCs w:val="28"/>
                <w:rtl/>
              </w:rPr>
              <w:lastRenderedPageBreak/>
              <w:t xml:space="preserve">גם בעניין עילת התקיפה אישר בית המשפט העליון את קביעותיו של כב' השופט דרורי.  וכך פסק כב' השופט </w:t>
            </w:r>
            <w:r>
              <w:rPr>
                <w:rFonts w:ascii="Miriam" w:hAnsi="Miriam" w:cs="Miriam"/>
                <w:sz w:val="24"/>
                <w:szCs w:val="24"/>
                <w:rtl/>
              </w:rPr>
              <w:t>י' עמית:</w:t>
            </w:r>
            <w:r>
              <w:rPr>
                <w:rFonts w:ascii="FrankRuehl" w:hAnsi="FrankRuehl" w:cs="FrankRuehl"/>
                <w:sz w:val="28"/>
                <w:szCs w:val="28"/>
                <w:rtl/>
              </w:rPr>
              <w:t xml:space="preserve"> </w:t>
            </w:r>
          </w:p>
          <w:p w:rsidR="00C632FF" w:rsidRDefault="00C632FF" w:rsidP="00C632FF">
            <w:pPr>
              <w:pStyle w:val="ad"/>
              <w:spacing w:line="276" w:lineRule="auto"/>
              <w:ind w:left="1502" w:right="1418" w:hanging="142"/>
              <w:jc w:val="both"/>
              <w:rPr>
                <w:rFonts w:ascii="FrankRuehl" w:hAnsi="FrankRuehl" w:cs="FrankRuehl"/>
                <w:sz w:val="28"/>
                <w:szCs w:val="28"/>
              </w:rPr>
            </w:pPr>
            <w:r>
              <w:rPr>
                <w:rFonts w:ascii="FrankRuehl" w:hAnsi="FrankRuehl" w:cs="FrankRuehl"/>
                <w:sz w:val="28"/>
                <w:szCs w:val="28"/>
                <w:rtl/>
              </w:rPr>
              <w:t>"קביעותיו של בית משפט קמא בדבר 'ראשית ראיה' לגבי הפגיעות הפיזיות והנפשיות שנגרמו לכל אחד מן התובעים עקב המעצר והעינויים, הן קביעות מובהקות שבענייני עובדה ומהימנות שאין דרכה של ערכאת הערעור להתערב בהן. לכן איני רואה לקבל את הטענות הכלליות שהעלתה הרש"פ לגבי מהימנות העדויות ומשקלן של חוות הדעת שעליהן נסמכו התובעים. מכל מקום ההחלטה בשאלת האחריות היא עקרונית, ונושא הנזק כפוף להוכחה מלאה וקונקרטית של מעשי העינויים ולראיות הפרטניות אשר תוגשנה על ידי כל אחד מן התובעים ב- 52 התיקים הפרטניים התלויים ועומדים בפני בית המשפט המחוזי" (שם, פסקה 19).</w:t>
            </w:r>
          </w:p>
          <w:p w:rsidR="00C632FF" w:rsidRDefault="00C632FF" w:rsidP="00C632FF">
            <w:pPr>
              <w:pStyle w:val="ad"/>
              <w:spacing w:line="276" w:lineRule="auto"/>
              <w:ind w:left="1502" w:right="1418" w:hanging="142"/>
              <w:jc w:val="both"/>
              <w:rPr>
                <w:rFonts w:ascii="FrankRuehl" w:hAnsi="FrankRuehl" w:cs="FrankRuehl"/>
                <w:sz w:val="28"/>
                <w:szCs w:val="28"/>
                <w:rtl/>
              </w:rPr>
            </w:pPr>
            <w:r>
              <w:rPr>
                <w:rFonts w:ascii="FrankRuehl" w:hAnsi="FrankRuehl" w:cs="FrankRuehl"/>
                <w:sz w:val="28"/>
                <w:szCs w:val="28"/>
                <w:rtl/>
              </w:rPr>
              <w:t xml:space="preserve"> </w:t>
            </w:r>
          </w:p>
          <w:p w:rsidR="00C632FF" w:rsidRDefault="00C632FF" w:rsidP="00C632FF">
            <w:pPr>
              <w:pStyle w:val="ad"/>
              <w:numPr>
                <w:ilvl w:val="0"/>
                <w:numId w:val="2"/>
              </w:numPr>
              <w:spacing w:line="360" w:lineRule="auto"/>
              <w:ind w:left="84" w:firstLine="0"/>
              <w:jc w:val="both"/>
              <w:rPr>
                <w:rFonts w:ascii="FrankRuehl" w:hAnsi="FrankRuehl" w:cs="FrankRuehl"/>
                <w:sz w:val="28"/>
                <w:szCs w:val="28"/>
              </w:rPr>
            </w:pPr>
            <w:r>
              <w:rPr>
                <w:rFonts w:ascii="FrankRuehl" w:hAnsi="FrankRuehl" w:cs="FrankRuehl"/>
                <w:sz w:val="28"/>
                <w:szCs w:val="28"/>
                <w:rtl/>
              </w:rPr>
              <w:t xml:space="preserve">בכל הנוגע לתובע הספציפי שבפניי, </w:t>
            </w:r>
            <w:proofErr w:type="spellStart"/>
            <w:r>
              <w:rPr>
                <w:rFonts w:ascii="FrankRuehl" w:hAnsi="FrankRuehl" w:cs="FrankRuehl"/>
                <w:sz w:val="28"/>
                <w:szCs w:val="28"/>
                <w:rtl/>
              </w:rPr>
              <w:t>צויין</w:t>
            </w:r>
            <w:proofErr w:type="spellEnd"/>
            <w:r>
              <w:rPr>
                <w:rFonts w:ascii="FrankRuehl" w:hAnsi="FrankRuehl" w:cs="FrankRuehl"/>
                <w:sz w:val="28"/>
                <w:szCs w:val="28"/>
                <w:rtl/>
              </w:rPr>
              <w:t xml:space="preserve"> בהחלטת החבות כי התובע נעצר ונכלא שלא כדין מיום 18.4.2001 ועד ליום 28.5.2002 (פסקה 859 להחלטת החבות). כן פורטו העינויים שתיאר התובע בסעיף 11 לתצהירו מיום 1.6.2003: מכות בידיים וברגליים במקלות ובכבלי חשמל, קשירת הידיים והרגליים אל הקיר, קשירת הרגליים אל קלשניקוב והכאה במשך חצי שעה, </w:t>
            </w:r>
            <w:r>
              <w:rPr>
                <w:rFonts w:ascii="FrankRuehl" w:hAnsi="FrankRuehl" w:cs="FrankRuehl"/>
                <w:color w:val="000000" w:themeColor="text1"/>
                <w:sz w:val="28"/>
                <w:szCs w:val="28"/>
                <w:rtl/>
              </w:rPr>
              <w:t xml:space="preserve">מניעת גישה לשירותים </w:t>
            </w:r>
            <w:r>
              <w:rPr>
                <w:rFonts w:ascii="FrankRuehl" w:hAnsi="FrankRuehl" w:cs="FrankRuehl"/>
                <w:sz w:val="28"/>
                <w:szCs w:val="28"/>
                <w:rtl/>
              </w:rPr>
              <w:t>לעשיית הצרכים, השמת הרגליים במים קרים באופן שהוא לא יכול היה ללכת לאחר מכן במשך מספר ימים (פסקה 860 להחלטת החבות). בהמשך תוארה בהחלטת החבות עדותו של התובע מיום 28.2.2011 (עמ' 33 לפרוטוקול הדיון) שסיפר שנהגו בו וביתר הנחשדים בשיתוף פעולה עם ישראל, "</w:t>
            </w:r>
            <w:r>
              <w:rPr>
                <w:rFonts w:ascii="Miriam" w:hAnsi="Miriam" w:cs="Miriam"/>
                <w:sz w:val="24"/>
                <w:szCs w:val="24"/>
                <w:rtl/>
              </w:rPr>
              <w:t xml:space="preserve">כמו בעלי חיים והיינו אפילו מתפללים ורוצים ולמות" </w:t>
            </w:r>
            <w:r>
              <w:rPr>
                <w:rFonts w:ascii="FrankRuehl" w:hAnsi="FrankRuehl" w:cs="FrankRuehl"/>
                <w:sz w:val="28"/>
                <w:szCs w:val="28"/>
                <w:rtl/>
              </w:rPr>
              <w:t>וכן</w:t>
            </w:r>
            <w:r>
              <w:rPr>
                <w:rFonts w:ascii="Miriam" w:hAnsi="Miriam" w:cs="Miriam"/>
                <w:sz w:val="24"/>
                <w:szCs w:val="24"/>
                <w:rtl/>
              </w:rPr>
              <w:t xml:space="preserve"> "היו מרימים את הנשק והיו מאיימים עלינו ברצח ובצעו רצח בתוך הכלא. אני אומר שנרצחו שלושה אנשים עצורים בתוך הכלא</w:t>
            </w:r>
            <w:r>
              <w:rPr>
                <w:rFonts w:ascii="FrankRuehl" w:hAnsi="FrankRuehl" w:cs="FrankRuehl"/>
                <w:sz w:val="28"/>
                <w:szCs w:val="28"/>
                <w:rtl/>
              </w:rPr>
              <w:t xml:space="preserve">" (פסקה 861 להחלטת החבות). לצד תיאור עדותו של התובע,  ציין בית המשפט במסגרת החלטת החבות כי העד שהובא מטעם הרש"פ (מוחמד קמרי) שטען שהתובע לא חווה עינויים, לא היה נוכח בחקירות של התובע ולכן אינו יכול להעיד על הנעשה בזמן חקירותיו (שם פסקה 863). בדומה לכך נקבע במסגרת החלטת החבות כי גם המצהיר מטעם הרש"פ, מר </w:t>
            </w:r>
            <w:proofErr w:type="spellStart"/>
            <w:r>
              <w:rPr>
                <w:rFonts w:ascii="FrankRuehl" w:hAnsi="FrankRuehl" w:cs="FrankRuehl"/>
                <w:sz w:val="28"/>
                <w:szCs w:val="28"/>
                <w:rtl/>
              </w:rPr>
              <w:t>פואז</w:t>
            </w:r>
            <w:proofErr w:type="spellEnd"/>
            <w:r>
              <w:rPr>
                <w:rFonts w:ascii="FrankRuehl" w:hAnsi="FrankRuehl" w:cs="FrankRuehl"/>
                <w:sz w:val="28"/>
                <w:szCs w:val="28"/>
                <w:rtl/>
              </w:rPr>
              <w:t xml:space="preserve"> </w:t>
            </w:r>
            <w:proofErr w:type="spellStart"/>
            <w:r>
              <w:rPr>
                <w:rFonts w:ascii="FrankRuehl" w:hAnsi="FrankRuehl" w:cs="FrankRuehl"/>
                <w:sz w:val="28"/>
                <w:szCs w:val="28"/>
                <w:rtl/>
              </w:rPr>
              <w:t>אבוזר</w:t>
            </w:r>
            <w:proofErr w:type="spellEnd"/>
            <w:r>
              <w:rPr>
                <w:rFonts w:ascii="FrankRuehl" w:hAnsi="FrankRuehl" w:cs="FrankRuehl"/>
                <w:sz w:val="28"/>
                <w:szCs w:val="28"/>
                <w:rtl/>
              </w:rPr>
              <w:t xml:space="preserve"> שהכחיש שהתובע עבר עינויים, הכחיש זאת באופן סתמי ומבלי שהדבר מבוסס על נוכחות אישית של המצהיר בחקירות של התובע (שם, פסקה 864). "</w:t>
            </w:r>
            <w:r>
              <w:rPr>
                <w:rFonts w:ascii="Miriam" w:hAnsi="Miriam" w:cs="Miriam"/>
                <w:sz w:val="24"/>
                <w:szCs w:val="24"/>
                <w:rtl/>
              </w:rPr>
              <w:t>סוף דבר</w:t>
            </w:r>
            <w:r>
              <w:rPr>
                <w:rFonts w:ascii="FrankRuehl" w:hAnsi="FrankRuehl" w:cs="FrankRuehl"/>
                <w:sz w:val="28"/>
                <w:szCs w:val="28"/>
                <w:rtl/>
              </w:rPr>
              <w:t>", נקבע בהחלטת החבות "</w:t>
            </w:r>
            <w:r>
              <w:rPr>
                <w:rFonts w:ascii="Miriam" w:hAnsi="Miriam" w:cs="Miriam"/>
                <w:sz w:val="24"/>
                <w:szCs w:val="24"/>
                <w:rtl/>
              </w:rPr>
              <w:t>התובע הציג ראשית ראיה לכך שהוא עונה במהלך מעצרו וראשית ראיה זו לא הוזמה על ידי הנתבעת</w:t>
            </w:r>
            <w:r>
              <w:rPr>
                <w:rFonts w:ascii="FrankRuehl" w:hAnsi="FrankRuehl" w:cs="FrankRuehl"/>
                <w:sz w:val="28"/>
                <w:szCs w:val="28"/>
                <w:rtl/>
              </w:rPr>
              <w:t>" (שם, פסקה 865). בהמשך נקבע כי "</w:t>
            </w:r>
            <w:r>
              <w:rPr>
                <w:rFonts w:ascii="Miriam" w:hAnsi="Miriam" w:cs="Miriam"/>
                <w:sz w:val="24"/>
                <w:szCs w:val="24"/>
                <w:rtl/>
              </w:rPr>
              <w:t xml:space="preserve">הוכח ברמת ההוכחה הנדרשת לשלב זה של קביעת החבות, דהיינו: ראשית ראיה, כי במעצר הנ"ל, עונה התובע על ידי אנשי הרש"פ. ביחס לתובע זה, ההחלטה </w:t>
            </w:r>
            <w:r>
              <w:rPr>
                <w:rFonts w:ascii="Miriam" w:hAnsi="Miriam" w:cs="Miriam"/>
                <w:sz w:val="24"/>
                <w:szCs w:val="24"/>
                <w:rtl/>
              </w:rPr>
              <w:lastRenderedPageBreak/>
              <w:t>היא בגדר החלטת ביניים 'חיובית', שתוצאתה היא כי יש לדון בשלב הבא של קביעת הנזק והפיצוי בעניינו של התובע"</w:t>
            </w:r>
            <w:r>
              <w:rPr>
                <w:rFonts w:ascii="FrankRuehl" w:hAnsi="FrankRuehl" w:cs="FrankRuehl"/>
                <w:sz w:val="28"/>
                <w:szCs w:val="28"/>
                <w:rtl/>
              </w:rPr>
              <w:t xml:space="preserve"> (שם פסקה 866). </w:t>
            </w:r>
          </w:p>
          <w:p w:rsidR="00C632FF" w:rsidRDefault="00C632FF" w:rsidP="00C632FF">
            <w:pPr>
              <w:pStyle w:val="ad"/>
              <w:spacing w:line="360" w:lineRule="auto"/>
              <w:ind w:left="84"/>
              <w:jc w:val="both"/>
              <w:rPr>
                <w:rFonts w:ascii="FrankRuehl" w:hAnsi="FrankRuehl" w:cs="FrankRuehl"/>
                <w:sz w:val="2"/>
                <w:szCs w:val="2"/>
              </w:rPr>
            </w:pPr>
          </w:p>
          <w:p w:rsidR="00C632FF" w:rsidRDefault="00C632FF" w:rsidP="00C632FF">
            <w:pPr>
              <w:spacing w:line="360" w:lineRule="auto"/>
              <w:ind w:left="84" w:firstLine="636"/>
              <w:jc w:val="both"/>
              <w:rPr>
                <w:rFonts w:ascii="FrankRuehl" w:hAnsi="FrankRuehl" w:cs="FrankRuehl"/>
                <w:sz w:val="28"/>
                <w:szCs w:val="28"/>
                <w:rtl/>
              </w:rPr>
            </w:pPr>
            <w:r>
              <w:rPr>
                <w:rFonts w:ascii="FrankRuehl" w:hAnsi="FrankRuehl" w:cs="FrankRuehl"/>
                <w:sz w:val="28"/>
                <w:szCs w:val="28"/>
                <w:rtl/>
              </w:rPr>
              <w:t>בכך תם תיאור הרקע הכללי ותיאור החלטת החבות ביחס לתובע שבפניי. לכן היה מקום לעבור מיד לשלב בחינת נזקו האישי של התובע. אלא שהרש"פ טוענת כי בעקבות הראיות הנוספות שנשמעו בפניי בעת הדיון בשאלת הנזק, יש לקבוע "</w:t>
            </w:r>
            <w:r>
              <w:rPr>
                <w:rFonts w:ascii="Miriam" w:hAnsi="Miriam" w:cs="Miriam"/>
                <w:rtl/>
              </w:rPr>
              <w:t>שלא הוכחה טענת העינויים ברמת ההוכחה הנדרשת, ובהתאם אין להכיר בפיצוי ויש לדחות את התביעה</w:t>
            </w:r>
            <w:r>
              <w:rPr>
                <w:rFonts w:ascii="FrankRuehl" w:hAnsi="FrankRuehl" w:cs="FrankRuehl"/>
                <w:sz w:val="28"/>
                <w:szCs w:val="28"/>
                <w:rtl/>
              </w:rPr>
              <w:t xml:space="preserve">" (סעיף 42 לסיכומי הרש"פ). בכך למעשה מבקשת הרש"פ לדון מחדש בשאלת החבות. אקדים ואומר שאין לקבל טענה זו. הלכה למעשה הרש"פ מבקשת לאיין את החלטת החבות של כב' השופט </w:t>
            </w:r>
            <w:r>
              <w:rPr>
                <w:rFonts w:ascii="Miriam" w:hAnsi="Miriam" w:cs="Miriam"/>
                <w:rtl/>
              </w:rPr>
              <w:t xml:space="preserve">דרורי </w:t>
            </w:r>
            <w:r>
              <w:rPr>
                <w:rFonts w:ascii="FrankRuehl" w:hAnsi="FrankRuehl" w:cs="FrankRuehl"/>
                <w:sz w:val="28"/>
                <w:szCs w:val="28"/>
                <w:rtl/>
              </w:rPr>
              <w:t xml:space="preserve">שאושרה כאמור על ידי בית המשפט העליון, ואשר נתנה לאחר שנים רבות מאוד של התדיינות (למעלה מ - 15 שנים), שבמהלכן נתנה לרש"פ ההזדמנות להביא ראיות לסתירת טענות התובע בעניין העינויים. בעת הדיון בשאלת החבות הרש"פ לא הגישה ראיות למעט אלו שפורטו לעיל, וכפי שצויין, לא היה בהן כדי לסתור את גרסת התובע בדבר העינויים. הרש"פ טוענת שבהחלטת החבות לא נקבעו ממצאים מחייבים בנושא העינויים, אלא רק שקיימת "ראשית ראיה". גם טענה זו אין לקבל, כפי שיפורט להלן בפרק העינויים.  </w:t>
            </w:r>
          </w:p>
          <w:p w:rsidR="00D95D6A" w:rsidRPr="00D95D6A" w:rsidRDefault="00D95D6A" w:rsidP="00C632FF">
            <w:pPr>
              <w:spacing w:line="360" w:lineRule="auto"/>
              <w:ind w:left="84" w:firstLine="636"/>
              <w:jc w:val="both"/>
              <w:rPr>
                <w:rFonts w:ascii="FrankRuehl" w:hAnsi="FrankRuehl" w:cs="FrankRuehl"/>
                <w:sz w:val="14"/>
                <w:szCs w:val="14"/>
              </w:rPr>
            </w:pPr>
          </w:p>
          <w:p w:rsidR="00C632FF" w:rsidRDefault="00C632FF" w:rsidP="00C632FF">
            <w:pPr>
              <w:pStyle w:val="ad"/>
              <w:spacing w:line="360" w:lineRule="auto"/>
              <w:ind w:left="84"/>
              <w:jc w:val="both"/>
              <w:rPr>
                <w:rFonts w:ascii="FrankRuehl" w:hAnsi="FrankRuehl" w:cs="FrankRuehl"/>
                <w:b/>
                <w:bCs/>
                <w:sz w:val="2"/>
                <w:szCs w:val="2"/>
                <w:u w:val="single"/>
              </w:rPr>
            </w:pPr>
          </w:p>
          <w:p w:rsidR="00C632FF" w:rsidRDefault="00C632FF" w:rsidP="00C632FF">
            <w:pPr>
              <w:pStyle w:val="ad"/>
              <w:spacing w:line="360" w:lineRule="auto"/>
              <w:ind w:left="84"/>
              <w:jc w:val="both"/>
              <w:rPr>
                <w:rFonts w:ascii="FrankRuehl" w:hAnsi="FrankRuehl" w:cs="FrankRuehl"/>
                <w:b/>
                <w:bCs/>
                <w:sz w:val="28"/>
                <w:szCs w:val="28"/>
                <w:u w:val="single"/>
                <w:rtl/>
              </w:rPr>
            </w:pPr>
            <w:r>
              <w:rPr>
                <w:rFonts w:ascii="FrankRuehl" w:hAnsi="FrankRuehl" w:cs="FrankRuehl"/>
                <w:b/>
                <w:bCs/>
                <w:sz w:val="28"/>
                <w:szCs w:val="28"/>
                <w:u w:val="single"/>
                <w:rtl/>
              </w:rPr>
              <w:t>העינויים</w:t>
            </w:r>
          </w:p>
          <w:p w:rsidR="00D95D6A" w:rsidRPr="00D95D6A" w:rsidRDefault="00D95D6A" w:rsidP="00C632FF">
            <w:pPr>
              <w:pStyle w:val="ad"/>
              <w:spacing w:line="360" w:lineRule="auto"/>
              <w:ind w:left="84"/>
              <w:jc w:val="both"/>
              <w:rPr>
                <w:rFonts w:ascii="FrankRuehl" w:hAnsi="FrankRuehl" w:cs="FrankRuehl"/>
                <w:b/>
                <w:bCs/>
                <w:sz w:val="16"/>
                <w:szCs w:val="16"/>
                <w:u w:val="single"/>
                <w:rtl/>
              </w:rPr>
            </w:pPr>
          </w:p>
          <w:p w:rsidR="00C632FF" w:rsidRDefault="00C632FF" w:rsidP="00C632FF">
            <w:pPr>
              <w:pStyle w:val="ad"/>
              <w:spacing w:line="360" w:lineRule="auto"/>
              <w:ind w:left="84"/>
              <w:jc w:val="both"/>
              <w:rPr>
                <w:rFonts w:ascii="FrankRuehl" w:hAnsi="FrankRuehl" w:cs="FrankRuehl"/>
                <w:b/>
                <w:bCs/>
                <w:sz w:val="4"/>
                <w:szCs w:val="4"/>
                <w:u w:val="single"/>
                <w:rtl/>
              </w:rPr>
            </w:pPr>
          </w:p>
          <w:p w:rsidR="00C632FF" w:rsidRDefault="00C632FF" w:rsidP="00C632FF">
            <w:pPr>
              <w:pStyle w:val="ad"/>
              <w:numPr>
                <w:ilvl w:val="0"/>
                <w:numId w:val="2"/>
              </w:numPr>
              <w:spacing w:line="360" w:lineRule="auto"/>
              <w:ind w:left="84" w:firstLine="0"/>
              <w:jc w:val="both"/>
              <w:rPr>
                <w:rFonts w:ascii="FrankRuehl" w:hAnsi="FrankRuehl" w:cs="FrankRuehl"/>
                <w:sz w:val="28"/>
                <w:szCs w:val="28"/>
              </w:rPr>
            </w:pPr>
            <w:r>
              <w:rPr>
                <w:rFonts w:ascii="FrankRuehl" w:hAnsi="FrankRuehl" w:cs="FrankRuehl"/>
                <w:sz w:val="28"/>
                <w:szCs w:val="28"/>
                <w:rtl/>
              </w:rPr>
              <w:t xml:space="preserve">   הרש"פ טוענת שבהחלטת החבות לא נקבע שהיא עינתה את התובע אלא רק "</w:t>
            </w:r>
            <w:r>
              <w:rPr>
                <w:rFonts w:ascii="Miriam" w:hAnsi="Miriam" w:cs="Miriam"/>
                <w:sz w:val="24"/>
                <w:szCs w:val="24"/>
                <w:rtl/>
              </w:rPr>
              <w:t>שהוכח ברמת הוכחה של 'ראשית ראיה' כי התובע עונה כביכול במעצר</w:t>
            </w:r>
            <w:r>
              <w:rPr>
                <w:rFonts w:ascii="FrankRuehl" w:hAnsi="FrankRuehl" w:cs="FrankRuehl"/>
                <w:sz w:val="28"/>
                <w:szCs w:val="28"/>
                <w:rtl/>
              </w:rPr>
              <w:t xml:space="preserve">" (סעיף 18 לסיכומי הרש"פ). הרש"פ מפנה לפסקה 656 להחלטת החבות שם </w:t>
            </w:r>
            <w:proofErr w:type="spellStart"/>
            <w:r>
              <w:rPr>
                <w:rFonts w:ascii="FrankRuehl" w:hAnsi="FrankRuehl" w:cs="FrankRuehl"/>
                <w:sz w:val="28"/>
                <w:szCs w:val="28"/>
                <w:rtl/>
              </w:rPr>
              <w:t>צויין</w:t>
            </w:r>
            <w:proofErr w:type="spellEnd"/>
            <w:r>
              <w:rPr>
                <w:rFonts w:ascii="FrankRuehl" w:hAnsi="FrankRuehl" w:cs="FrankRuehl"/>
                <w:sz w:val="28"/>
                <w:szCs w:val="28"/>
                <w:rtl/>
              </w:rPr>
              <w:t xml:space="preserve"> כי  "</w:t>
            </w:r>
            <w:r>
              <w:rPr>
                <w:rFonts w:ascii="Miriam" w:hAnsi="Miriam" w:cs="Miriam"/>
                <w:sz w:val="24"/>
                <w:szCs w:val="24"/>
                <w:rtl/>
              </w:rPr>
              <w:t>יש להוכיח את הפרטים של כל עינוי ועינוי ומה היו תוצאותיו הבריאותיות, מבחינת אחוזי הנכות אבדן תפקוד ועוד</w:t>
            </w:r>
            <w:r>
              <w:rPr>
                <w:rFonts w:ascii="FrankRuehl" w:hAnsi="FrankRuehl" w:cs="FrankRuehl"/>
                <w:sz w:val="28"/>
                <w:szCs w:val="28"/>
                <w:rtl/>
              </w:rPr>
              <w:t>" וכן ש"</w:t>
            </w:r>
            <w:r>
              <w:rPr>
                <w:rFonts w:ascii="Miriam" w:hAnsi="Miriam" w:cs="Miriam"/>
                <w:sz w:val="24"/>
                <w:szCs w:val="24"/>
                <w:rtl/>
              </w:rPr>
              <w:t>עיקר הראיות יובאו בשלב הבא של הדיון על גובה הנזק</w:t>
            </w:r>
            <w:r>
              <w:rPr>
                <w:rFonts w:ascii="FrankRuehl" w:hAnsi="FrankRuehl" w:cs="FrankRuehl"/>
                <w:sz w:val="28"/>
                <w:szCs w:val="28"/>
                <w:rtl/>
              </w:rPr>
              <w:t xml:space="preserve">". כן מפנה הרש"פ לסעיף 660 להחלטת החבות שם </w:t>
            </w:r>
            <w:proofErr w:type="spellStart"/>
            <w:r>
              <w:rPr>
                <w:rFonts w:ascii="FrankRuehl" w:hAnsi="FrankRuehl" w:cs="FrankRuehl"/>
                <w:sz w:val="28"/>
                <w:szCs w:val="28"/>
                <w:rtl/>
              </w:rPr>
              <w:t>צויין</w:t>
            </w:r>
            <w:proofErr w:type="spellEnd"/>
            <w:r>
              <w:rPr>
                <w:rFonts w:ascii="FrankRuehl" w:hAnsi="FrankRuehl" w:cs="FrankRuehl"/>
                <w:sz w:val="28"/>
                <w:szCs w:val="28"/>
                <w:rtl/>
              </w:rPr>
              <w:t xml:space="preserve"> "</w:t>
            </w:r>
            <w:r>
              <w:rPr>
                <w:rFonts w:ascii="Miriam" w:hAnsi="Miriam" w:cs="Miriam"/>
                <w:sz w:val="24"/>
                <w:szCs w:val="24"/>
                <w:rtl/>
              </w:rPr>
              <w:t>האמור כאן - בהחלטה בדבר האחריות – היא אמירה עקרונית בלבד והיא כפופה לראיות הפרטניות אשר יוגשו מטעם כל תובע ותובע ביחס לנזקיו האישיים</w:t>
            </w:r>
            <w:r>
              <w:rPr>
                <w:rFonts w:ascii="FrankRuehl" w:hAnsi="FrankRuehl" w:cs="FrankRuehl"/>
                <w:sz w:val="28"/>
                <w:szCs w:val="28"/>
                <w:rtl/>
              </w:rPr>
              <w:t>" וכי "</w:t>
            </w:r>
            <w:r>
              <w:rPr>
                <w:rFonts w:ascii="Miriam" w:hAnsi="Miriam" w:cs="Miriam"/>
                <w:sz w:val="24"/>
                <w:szCs w:val="24"/>
                <w:rtl/>
              </w:rPr>
              <w:t>הראיות לעניין חומרת העינויים ובמיוחד ההשלכות הרפואיות והתפקודיות של העינויים של תובע ותובע לפי נסיבותיו - ישמעו במלואם בשלב השני. לפיכך גם אם התובעים לא הביאו ראיות מלאות לעניין עצם העינויים, ניתן לעבור לשלב הבא, כאשר בשלב הבא מוטלת משימה משמעותית על התובעים והיא להביא ראיות בנושא העינויים לצורך קביעת גובה הפיצוי. אם בשלב הבא יימנעו התובעים מלהביא את העדים המתאימים, יפעל הדבר לרעתם</w:t>
            </w:r>
            <w:r>
              <w:rPr>
                <w:rFonts w:ascii="FrankRuehl" w:hAnsi="FrankRuehl" w:cs="FrankRuehl"/>
                <w:sz w:val="28"/>
                <w:szCs w:val="28"/>
                <w:rtl/>
              </w:rPr>
              <w:t xml:space="preserve">" (שם, פסקה 677).  </w:t>
            </w:r>
          </w:p>
          <w:p w:rsidR="00C632FF" w:rsidRDefault="00C632FF" w:rsidP="00C632FF">
            <w:pPr>
              <w:pStyle w:val="ad"/>
              <w:spacing w:line="360" w:lineRule="auto"/>
              <w:ind w:left="84"/>
              <w:jc w:val="both"/>
              <w:rPr>
                <w:rFonts w:ascii="FrankRuehl" w:hAnsi="FrankRuehl" w:cs="FrankRuehl"/>
                <w:sz w:val="8"/>
                <w:szCs w:val="8"/>
              </w:rPr>
            </w:pPr>
            <w:r>
              <w:rPr>
                <w:rFonts w:ascii="FrankRuehl" w:hAnsi="FrankRuehl" w:cs="FrankRuehl"/>
                <w:sz w:val="28"/>
                <w:szCs w:val="28"/>
                <w:rtl/>
              </w:rPr>
              <w:lastRenderedPageBreak/>
              <w:t xml:space="preserve"> </w:t>
            </w:r>
            <w:r>
              <w:rPr>
                <w:rFonts w:ascii="FrankRuehl" w:hAnsi="FrankRuehl" w:cs="FrankRuehl" w:hint="cs"/>
                <w:sz w:val="28"/>
                <w:szCs w:val="28"/>
                <w:rtl/>
              </w:rPr>
              <w:t xml:space="preserve">      </w:t>
            </w:r>
          </w:p>
          <w:p w:rsidR="00C632FF" w:rsidRDefault="00C632FF" w:rsidP="00C632FF">
            <w:pPr>
              <w:pStyle w:val="Ruller41"/>
              <w:numPr>
                <w:ilvl w:val="0"/>
                <w:numId w:val="2"/>
              </w:numPr>
              <w:tabs>
                <w:tab w:val="clear" w:pos="800"/>
                <w:tab w:val="left" w:pos="84"/>
                <w:tab w:val="left" w:pos="935"/>
              </w:tabs>
              <w:spacing w:before="120" w:after="120"/>
              <w:ind w:left="84" w:firstLine="0"/>
              <w:rPr>
                <w:rFonts w:ascii="FrankRuehl" w:hAnsi="FrankRuehl"/>
                <w:sz w:val="28"/>
              </w:rPr>
            </w:pPr>
            <w:r>
              <w:rPr>
                <w:rFonts w:ascii="FrankRuehl" w:hAnsi="FrankRuehl"/>
                <w:sz w:val="28"/>
                <w:rtl/>
              </w:rPr>
              <w:t>לטענת הרש"פ, למרות ההחלטה המפורשת של בית המשפט לפיה על התובע להביא ראיות להוכחת טענותיו בעניין העינויים, הוא נמנע מלעשות זאת גם בשלב הדיון על הנזק ולמעשה בשלב הדיון בשאלת הנזק שכאמור התקיים בפניי, העידו רק התובע ואשתו שלא ידעה פרטים רבים. כן נמנע התובע מלהעיד רופאים שטפלו בו, בני משפחה, ידידים או אסירים נוספים שהיו עמו. מעבידים שאצלם עבד, שותף ועובדים אחרים שעימם עבד ולקוחות שלהם ביצע עבודות. התובע אף נמנע מלהציג תיעוד רפואי אודות מצבו וכן אודות השתכרותו הנוכחית. הרש"פ טוענת שלעדות של התובע ואשתו אין תימוכין בראיות אובייקטיביות וכי הסתירות הרבות שנמצאו בעדויות התובע וניסיונו להקצין את מצבו באופן מגמתי ושקרי, מחייבים את המסקנה שאין לתת כל משקל לעדותו ולכן יש לדחות את התביעה.</w:t>
            </w:r>
          </w:p>
          <w:p w:rsidR="00C632FF" w:rsidRDefault="00C632FF" w:rsidP="00C632FF">
            <w:pPr>
              <w:pStyle w:val="ad"/>
              <w:rPr>
                <w:rFonts w:ascii="FrankRuehl" w:hAnsi="FrankRuehl"/>
                <w:sz w:val="2"/>
                <w:szCs w:val="2"/>
              </w:rPr>
            </w:pPr>
          </w:p>
          <w:p w:rsidR="00C632FF" w:rsidRDefault="00C632FF" w:rsidP="00C632FF">
            <w:pPr>
              <w:pStyle w:val="Ruller41"/>
              <w:tabs>
                <w:tab w:val="clear" w:pos="800"/>
                <w:tab w:val="left" w:pos="84"/>
                <w:tab w:val="left" w:pos="935"/>
              </w:tabs>
              <w:spacing w:before="120" w:after="120"/>
              <w:ind w:left="84"/>
              <w:rPr>
                <w:rFonts w:ascii="FrankRuehl" w:hAnsi="FrankRuehl"/>
                <w:sz w:val="2"/>
                <w:szCs w:val="2"/>
                <w:rtl/>
              </w:rPr>
            </w:pPr>
          </w:p>
          <w:p w:rsidR="00C632FF" w:rsidRDefault="00C632FF" w:rsidP="00C632FF">
            <w:pPr>
              <w:pStyle w:val="Ruller41"/>
              <w:numPr>
                <w:ilvl w:val="0"/>
                <w:numId w:val="2"/>
              </w:numPr>
              <w:tabs>
                <w:tab w:val="clear" w:pos="800"/>
                <w:tab w:val="left" w:pos="84"/>
                <w:tab w:val="left" w:pos="935"/>
              </w:tabs>
              <w:spacing w:before="120" w:after="120"/>
              <w:ind w:left="84" w:firstLine="0"/>
              <w:rPr>
                <w:rFonts w:ascii="FrankRuehl" w:hAnsi="FrankRuehl"/>
                <w:sz w:val="28"/>
              </w:rPr>
            </w:pPr>
            <w:r>
              <w:rPr>
                <w:rFonts w:ascii="FrankRuehl" w:hAnsi="FrankRuehl"/>
                <w:sz w:val="28"/>
                <w:rtl/>
              </w:rPr>
              <w:t>אין לקבל את טענות הרש"פ ואין לדון מחדש בשאלת החבות. קביעתו של כב' השופט דרורי לפיה התובע חווה עינויים בעת שנכלא על ידי הרש"פ היא קביעה  "</w:t>
            </w:r>
            <w:r>
              <w:rPr>
                <w:rFonts w:ascii="Miriam" w:hAnsi="Miriam" w:cs="Miriam"/>
                <w:sz w:val="24"/>
                <w:szCs w:val="24"/>
                <w:rtl/>
              </w:rPr>
              <w:t>נחרצת</w:t>
            </w:r>
            <w:r>
              <w:rPr>
                <w:rFonts w:ascii="FrankRuehl" w:hAnsi="FrankRuehl"/>
                <w:sz w:val="28"/>
                <w:rtl/>
              </w:rPr>
              <w:t xml:space="preserve">" כפי שהגדירה כב' השופט </w:t>
            </w:r>
            <w:r>
              <w:rPr>
                <w:rFonts w:ascii="Miriam" w:hAnsi="Miriam" w:cs="Miriam"/>
                <w:sz w:val="24"/>
                <w:szCs w:val="24"/>
                <w:rtl/>
              </w:rPr>
              <w:t>י' עמית</w:t>
            </w:r>
            <w:r>
              <w:rPr>
                <w:rFonts w:ascii="FrankRuehl" w:hAnsi="FrankRuehl"/>
                <w:sz w:val="28"/>
                <w:rtl/>
              </w:rPr>
              <w:t xml:space="preserve"> בעת שדן בבקשת רשות הערעור על החלטת המינוי (רע"א 8521/18 </w:t>
            </w:r>
            <w:r>
              <w:rPr>
                <w:rFonts w:ascii="Miriam" w:hAnsi="Miriam" w:cs="Miriam"/>
                <w:sz w:val="24"/>
                <w:szCs w:val="24"/>
                <w:rtl/>
              </w:rPr>
              <w:t>הרשות הפלסטינית נ' פלוני ואח'</w:t>
            </w:r>
            <w:r>
              <w:rPr>
                <w:rFonts w:ascii="FrankRuehl" w:hAnsi="FrankRuehl"/>
                <w:sz w:val="28"/>
                <w:rtl/>
              </w:rPr>
              <w:t xml:space="preserve"> (21.1.2019), פסקה 14).  כל שנותר לדון בשלב זה הוא בהיקף העינויים והשפעתם על מצבו הבריאותי של התובע. לכן לא תשמע בשלב זה טענה לפיה התובע לא עבר עינויים כלל.</w:t>
            </w:r>
          </w:p>
          <w:p w:rsidR="00C632FF" w:rsidRDefault="00C632FF" w:rsidP="00C632FF">
            <w:pPr>
              <w:pStyle w:val="Ruller41"/>
              <w:tabs>
                <w:tab w:val="clear" w:pos="800"/>
                <w:tab w:val="left" w:pos="84"/>
                <w:tab w:val="left" w:pos="935"/>
              </w:tabs>
              <w:spacing w:before="120" w:after="120"/>
              <w:ind w:left="84"/>
              <w:rPr>
                <w:rFonts w:ascii="FrankRuehl" w:hAnsi="FrankRuehl"/>
                <w:sz w:val="14"/>
                <w:szCs w:val="14"/>
              </w:rPr>
            </w:pPr>
          </w:p>
          <w:p w:rsidR="00C632FF" w:rsidRDefault="00C632FF" w:rsidP="00C632FF">
            <w:pPr>
              <w:pStyle w:val="Ruller41"/>
              <w:numPr>
                <w:ilvl w:val="0"/>
                <w:numId w:val="2"/>
              </w:numPr>
              <w:tabs>
                <w:tab w:val="clear" w:pos="800"/>
                <w:tab w:val="left" w:pos="84"/>
                <w:tab w:val="left" w:pos="935"/>
              </w:tabs>
              <w:spacing w:before="120" w:after="120"/>
              <w:ind w:left="84" w:firstLine="0"/>
              <w:rPr>
                <w:rFonts w:ascii="FrankRuehl" w:hAnsi="FrankRuehl"/>
                <w:sz w:val="28"/>
              </w:rPr>
            </w:pPr>
            <w:r>
              <w:rPr>
                <w:rFonts w:ascii="FrankRuehl" w:hAnsi="FrankRuehl"/>
                <w:sz w:val="28"/>
                <w:rtl/>
              </w:rPr>
              <w:t xml:space="preserve">הרש"פ מפרטת בסיכומיה שורה של "סתירות" שיש לטענתה בעדויות של התובע שיש בהן כדי לבטל את ההכרעה שנתנה בשאלת החבות. כך טוענת הרש"פ שהתובע תיאר בעדותו שהוא נלקח לכלא דהריה למשך חודש לאחר ששהה בכלא חברון 405 ימים, ולאחר מכן חזר לכלא חברון, ואילו אשת התובע העידה שהתובע הועבר לכלא דהריה לאחר חודשיים מיום מעצרו. אין ממש בטענה זו. ברור מדברי התובע שכאשר הוא אומר ששהה בכלא 405 ימים הוא מתכוון לתקופת הכליאה בכללותה ללא קשר למעברים שעשה בין מקומות הכליאה השונים (עמ' 35 </w:t>
            </w:r>
            <w:proofErr w:type="spellStart"/>
            <w:r>
              <w:rPr>
                <w:rFonts w:ascii="FrankRuehl" w:hAnsi="FrankRuehl"/>
                <w:sz w:val="28"/>
                <w:rtl/>
              </w:rPr>
              <w:t>שו</w:t>
            </w:r>
            <w:proofErr w:type="spellEnd"/>
            <w:r>
              <w:rPr>
                <w:rFonts w:ascii="FrankRuehl" w:hAnsi="FrankRuehl"/>
                <w:sz w:val="28"/>
                <w:rtl/>
              </w:rPr>
              <w:t xml:space="preserve">' 27-22 לפרוטוקול הדיון מיום 7.6.2022). מכל מקום ככל שיש חוסר דיוק באשר למועד שבו בקרה אשת התובע את התובע בדהריה – חודש או חודשיים לאחר המעצר – אין מדובר בסתירה בליבת המחלוקת ואין בה כדי לבטל את </w:t>
            </w:r>
            <w:r>
              <w:rPr>
                <w:rFonts w:ascii="FrankRuehl" w:hAnsi="FrankRuehl"/>
                <w:sz w:val="28"/>
                <w:rtl/>
              </w:rPr>
              <w:lastRenderedPageBreak/>
              <w:t xml:space="preserve">ההכרעה בשאלת החבות. כן טוענת הרש"פ לסתירות בקשר למועדים שבהם הגישו התובע ואשתו תלונות למשטרת ישראל בקשר לחטיפתו. אולם בשים לב לכך שאין חולק על כך שהוא נחטף ונכלא למשך 405 ימים, לא ברור כיצד יש בטענה זו כדי לשנות מהכרעת החבות. סתירה נוספת מוצאת הרש"פ בכך שבעדותו  ביום 17.9.2015 (עמ' 124 לראיות התובע), ציין התובע שמיד עם מעצרו, מוחמד </w:t>
            </w:r>
            <w:proofErr w:type="spellStart"/>
            <w:r>
              <w:rPr>
                <w:rFonts w:ascii="FrankRuehl" w:hAnsi="FrankRuehl"/>
                <w:sz w:val="28"/>
                <w:rtl/>
              </w:rPr>
              <w:t>קימרי</w:t>
            </w:r>
            <w:proofErr w:type="spellEnd"/>
            <w:r>
              <w:rPr>
                <w:rFonts w:ascii="FrankRuehl" w:hAnsi="FrankRuehl"/>
                <w:sz w:val="28"/>
                <w:rtl/>
              </w:rPr>
              <w:t xml:space="preserve"> קיבל ממנו קורות חיים אך הוא לא חקר אותו ולא היכה אותו, ואילו בעדותו ביום 7.6.2022 הוא שינה את עדותו והודה שמוחמד קמרי גבה ממנו את ההודעה הראשונה אך חזר ואישר שהוא לא הוכה על ידי מוחמד </w:t>
            </w:r>
            <w:proofErr w:type="spellStart"/>
            <w:r>
              <w:rPr>
                <w:rFonts w:ascii="FrankRuehl" w:hAnsi="FrankRuehl"/>
                <w:sz w:val="28"/>
                <w:rtl/>
              </w:rPr>
              <w:t>קימרי</w:t>
            </w:r>
            <w:proofErr w:type="spellEnd"/>
            <w:r>
              <w:rPr>
                <w:rFonts w:ascii="FrankRuehl" w:hAnsi="FrankRuehl"/>
                <w:sz w:val="28"/>
                <w:rtl/>
              </w:rPr>
              <w:t xml:space="preserve"> (עמ' 36 </w:t>
            </w:r>
            <w:proofErr w:type="spellStart"/>
            <w:r>
              <w:rPr>
                <w:rFonts w:ascii="FrankRuehl" w:hAnsi="FrankRuehl"/>
                <w:sz w:val="28"/>
                <w:rtl/>
              </w:rPr>
              <w:t>שו</w:t>
            </w:r>
            <w:proofErr w:type="spellEnd"/>
            <w:r>
              <w:rPr>
                <w:rFonts w:ascii="FrankRuehl" w:hAnsi="FrankRuehl"/>
                <w:sz w:val="28"/>
                <w:rtl/>
              </w:rPr>
              <w:t xml:space="preserve">' 19 -5 לפרוטוקול הדיון מיום 7.6.2022). גם בטענה זו אין ממש. התובע חזר בעדותו ביום 7.6.2022 על אותם הדברים שאמר בעדותו ביום 17.9.2015, לפיהם מוחמד </w:t>
            </w:r>
            <w:proofErr w:type="spellStart"/>
            <w:r>
              <w:rPr>
                <w:rFonts w:ascii="FrankRuehl" w:hAnsi="FrankRuehl"/>
                <w:sz w:val="28"/>
                <w:rtl/>
              </w:rPr>
              <w:t>קימרי</w:t>
            </w:r>
            <w:proofErr w:type="spellEnd"/>
            <w:r>
              <w:rPr>
                <w:rFonts w:ascii="FrankRuehl" w:hAnsi="FrankRuehl"/>
                <w:sz w:val="28"/>
                <w:rtl/>
              </w:rPr>
              <w:t xml:space="preserve"> לא היכה אותו אלא הורה לאחרים לעשות זאת. אשר לדברים שמסר למוחמד </w:t>
            </w:r>
            <w:proofErr w:type="spellStart"/>
            <w:r>
              <w:rPr>
                <w:rFonts w:ascii="FrankRuehl" w:hAnsi="FrankRuehl"/>
                <w:sz w:val="28"/>
                <w:rtl/>
              </w:rPr>
              <w:t>קימרי</w:t>
            </w:r>
            <w:proofErr w:type="spellEnd"/>
            <w:r>
              <w:rPr>
                <w:rFonts w:ascii="FrankRuehl" w:hAnsi="FrankRuehl"/>
                <w:sz w:val="28"/>
                <w:rtl/>
              </w:rPr>
              <w:t xml:space="preserve">, אף שבעדות הראשונה התובע תיאר שהוא מסר למוחמד </w:t>
            </w:r>
            <w:proofErr w:type="spellStart"/>
            <w:r>
              <w:rPr>
                <w:rFonts w:ascii="FrankRuehl" w:hAnsi="FrankRuehl"/>
                <w:sz w:val="28"/>
                <w:rtl/>
              </w:rPr>
              <w:t>קימרי</w:t>
            </w:r>
            <w:proofErr w:type="spellEnd"/>
            <w:r>
              <w:rPr>
                <w:rFonts w:ascii="FrankRuehl" w:hAnsi="FrankRuehl"/>
                <w:sz w:val="28"/>
                <w:rtl/>
              </w:rPr>
              <w:t xml:space="preserve"> קורות חיים ובעדות בפניי הוא תיאר שמסר לו "הודעה ראשונה" אין בכך סתירה בדברי התובע ובוודאי שלא סתירה מהותית. </w:t>
            </w:r>
          </w:p>
          <w:p w:rsidR="00C632FF" w:rsidRDefault="00C632FF" w:rsidP="00C632FF">
            <w:pPr>
              <w:pStyle w:val="Ruller41"/>
              <w:tabs>
                <w:tab w:val="clear" w:pos="800"/>
                <w:tab w:val="left" w:pos="84"/>
                <w:tab w:val="left" w:pos="935"/>
              </w:tabs>
              <w:spacing w:before="120" w:after="120"/>
              <w:ind w:left="84"/>
              <w:rPr>
                <w:rFonts w:ascii="FrankRuehl" w:hAnsi="FrankRuehl"/>
                <w:sz w:val="8"/>
                <w:szCs w:val="8"/>
              </w:rPr>
            </w:pPr>
            <w:r>
              <w:rPr>
                <w:rFonts w:ascii="FrankRuehl" w:hAnsi="FrankRuehl"/>
                <w:sz w:val="28"/>
                <w:rtl/>
              </w:rPr>
              <w:t xml:space="preserve">   </w:t>
            </w:r>
          </w:p>
          <w:p w:rsidR="00C632FF" w:rsidRDefault="00C632FF" w:rsidP="00C632FF">
            <w:pPr>
              <w:pStyle w:val="Ruller41"/>
              <w:numPr>
                <w:ilvl w:val="0"/>
                <w:numId w:val="2"/>
              </w:numPr>
              <w:tabs>
                <w:tab w:val="clear" w:pos="800"/>
                <w:tab w:val="left" w:pos="84"/>
                <w:tab w:val="left" w:pos="935"/>
              </w:tabs>
              <w:spacing w:before="120" w:after="120"/>
              <w:ind w:left="84" w:firstLine="0"/>
              <w:rPr>
                <w:rFonts w:ascii="FrankRuehl" w:hAnsi="FrankRuehl"/>
                <w:sz w:val="28"/>
              </w:rPr>
            </w:pPr>
            <w:r>
              <w:rPr>
                <w:rFonts w:ascii="FrankRuehl" w:hAnsi="FrankRuehl"/>
                <w:sz w:val="28"/>
                <w:rtl/>
              </w:rPr>
              <w:t>סתירה נוספת לכאורה, מוצאת הרש"פ בכך שבעדותו ביום 28.2.2011 (עמ' 86 -85 לראיות התובע), התובע מתאר שהוא עונה בעת שנחקר בחודשיים הראשונים למעצרו, ואילו בעדותו ביום 7.6.2022  ובמטרה להעצים את פגיעתו בשלב בחינת הנזק, שינה את גרסתו וטען שהוא עונה בעת שנחקר בשלושת החודשים הראשונים ואף הוסיף ואמר שהוא עונה גם לאחר סיום החקירה, כל אימת שבוצע פיגוע או התגלה לרש"פ מידע חדש שלטענתה קשור בתובע.  גם בטענה זו אין ממש. התובע העיד ועדותו מהימנה עליי כי את עיקר העינויים חווה בעת שנחקר בתחילת מעצרו ואין בעובדה שתחילה תיאר תקופה בת חודשיים ולאחר מכן, שלושה חודשים כדי לכרסם בעדותו. מה גם שבהמשך חקירתו הוא שוב וציין "</w:t>
            </w:r>
            <w:r>
              <w:rPr>
                <w:rFonts w:ascii="Miriam" w:hAnsi="Miriam" w:cs="Miriam"/>
                <w:sz w:val="24"/>
                <w:szCs w:val="24"/>
                <w:rtl/>
              </w:rPr>
              <w:t>החקירה הכי קשה הייתה במהלך החודשיים הראשונים. אבל כל הזמן, גם בהמשך אם יש ידע עלייך, מוציאים אותך לחקירה מחדש</w:t>
            </w:r>
            <w:r>
              <w:rPr>
                <w:rFonts w:ascii="FrankRuehl" w:hAnsi="FrankRuehl"/>
                <w:sz w:val="28"/>
                <w:rtl/>
              </w:rPr>
              <w:t xml:space="preserve">" (עמ' 27 </w:t>
            </w:r>
            <w:proofErr w:type="spellStart"/>
            <w:r>
              <w:rPr>
                <w:rFonts w:ascii="FrankRuehl" w:hAnsi="FrankRuehl"/>
                <w:sz w:val="28"/>
                <w:rtl/>
              </w:rPr>
              <w:t>שו</w:t>
            </w:r>
            <w:proofErr w:type="spellEnd"/>
            <w:r>
              <w:rPr>
                <w:rFonts w:ascii="FrankRuehl" w:hAnsi="FrankRuehl"/>
                <w:sz w:val="28"/>
                <w:rtl/>
              </w:rPr>
              <w:t>' 16-15 בפרוטוקול הדיון מיום 7.6.2022). הדבר גם מתיישב עם עדותו של התובע מיום 28.2.2011 שם תיאר כי נחקר "</w:t>
            </w:r>
            <w:r>
              <w:rPr>
                <w:rFonts w:ascii="Miriam" w:hAnsi="Miriam" w:cs="Miriam"/>
                <w:sz w:val="24"/>
                <w:szCs w:val="24"/>
                <w:rtl/>
              </w:rPr>
              <w:t>באופן מתמיד</w:t>
            </w:r>
            <w:r>
              <w:rPr>
                <w:rFonts w:ascii="FrankRuehl" w:hAnsi="FrankRuehl"/>
                <w:sz w:val="28"/>
                <w:rtl/>
              </w:rPr>
              <w:t xml:space="preserve">" (עמ' 86 לראיות התובע </w:t>
            </w:r>
            <w:proofErr w:type="spellStart"/>
            <w:r>
              <w:rPr>
                <w:rFonts w:ascii="FrankRuehl" w:hAnsi="FrankRuehl"/>
                <w:sz w:val="28"/>
                <w:rtl/>
              </w:rPr>
              <w:t>שו</w:t>
            </w:r>
            <w:proofErr w:type="spellEnd"/>
            <w:r>
              <w:rPr>
                <w:rFonts w:ascii="FrankRuehl" w:hAnsi="FrankRuehl"/>
                <w:sz w:val="28"/>
                <w:rtl/>
              </w:rPr>
              <w:t xml:space="preserve">' 26) מכאן ברור שתיאור העינויים בחודשיים הראשונים אינו ממצה את כלל העינויים. גם הניסיון להראות כאילו שהתובע תיאר בעדויות הראשונות רק איומים בעל פה ולא פגיעה פיזית לעומת תיאור שונה ביום </w:t>
            </w:r>
            <w:r>
              <w:rPr>
                <w:rFonts w:ascii="FrankRuehl" w:hAnsi="FrankRuehl"/>
                <w:sz w:val="28"/>
                <w:rtl/>
              </w:rPr>
              <w:lastRenderedPageBreak/>
              <w:t xml:space="preserve">7.6.2022 שם הוסיף שנפגע גם פיזית, איננה נכונה. לאורך כל הדרך תיאר התובע גם עינויים פיזיים וגם איומים ברצח  (ראו: העדות מיום 28.2.2011 - עמ' 33 </w:t>
            </w:r>
            <w:proofErr w:type="spellStart"/>
            <w:r>
              <w:rPr>
                <w:rFonts w:ascii="FrankRuehl" w:hAnsi="FrankRuehl"/>
                <w:sz w:val="28"/>
                <w:rtl/>
              </w:rPr>
              <w:t>שו</w:t>
            </w:r>
            <w:proofErr w:type="spellEnd"/>
            <w:r>
              <w:rPr>
                <w:rFonts w:ascii="FrankRuehl" w:hAnsi="FrankRuehl"/>
                <w:sz w:val="28"/>
                <w:rtl/>
              </w:rPr>
              <w:t>' 13 לראיות התובע "</w:t>
            </w:r>
            <w:r>
              <w:rPr>
                <w:rFonts w:ascii="Miriam" w:hAnsi="Miriam" w:cs="Miriam"/>
                <w:sz w:val="24"/>
                <w:szCs w:val="24"/>
                <w:rtl/>
              </w:rPr>
              <w:t>הרביצו לי</w:t>
            </w:r>
            <w:r>
              <w:rPr>
                <w:rFonts w:ascii="FrankRuehl" w:hAnsi="FrankRuehl"/>
                <w:sz w:val="28"/>
                <w:rtl/>
              </w:rPr>
              <w:t xml:space="preserve">"; עמ' 34 </w:t>
            </w:r>
            <w:proofErr w:type="spellStart"/>
            <w:r>
              <w:rPr>
                <w:rFonts w:ascii="FrankRuehl" w:hAnsi="FrankRuehl"/>
                <w:sz w:val="28"/>
                <w:rtl/>
              </w:rPr>
              <w:t>שו</w:t>
            </w:r>
            <w:proofErr w:type="spellEnd"/>
            <w:r>
              <w:rPr>
                <w:rFonts w:ascii="FrankRuehl" w:hAnsi="FrankRuehl"/>
                <w:sz w:val="28"/>
                <w:rtl/>
              </w:rPr>
              <w:t xml:space="preserve">' 11 לראיות התובע – " </w:t>
            </w:r>
            <w:r>
              <w:rPr>
                <w:rFonts w:ascii="Miriam" w:hAnsi="Miriam" w:cs="Miriam"/>
                <w:sz w:val="24"/>
                <w:szCs w:val="24"/>
                <w:rtl/>
              </w:rPr>
              <w:t>היו מאיימים עלינו ברצח. בצעו רצח בתוך הכלא</w:t>
            </w:r>
            <w:r>
              <w:rPr>
                <w:rFonts w:ascii="FrankRuehl" w:hAnsi="FrankRuehl"/>
                <w:sz w:val="28"/>
                <w:rtl/>
              </w:rPr>
              <w:t>";</w:t>
            </w:r>
            <w:r>
              <w:rPr>
                <w:rFonts w:ascii="FrankRuehl" w:hAnsi="FrankRuehl"/>
                <w:sz w:val="28"/>
              </w:rPr>
              <w:t xml:space="preserve"> </w:t>
            </w:r>
            <w:r>
              <w:rPr>
                <w:rFonts w:ascii="FrankRuehl" w:hAnsi="FrankRuehl"/>
                <w:sz w:val="28"/>
                <w:rtl/>
              </w:rPr>
              <w:t xml:space="preserve">העדות מיום 17.9.2015 עמ' 124 לראיות התובע </w:t>
            </w:r>
            <w:proofErr w:type="spellStart"/>
            <w:r>
              <w:rPr>
                <w:rFonts w:ascii="FrankRuehl" w:hAnsi="FrankRuehl"/>
                <w:sz w:val="28"/>
                <w:rtl/>
              </w:rPr>
              <w:t>שו</w:t>
            </w:r>
            <w:proofErr w:type="spellEnd"/>
            <w:r>
              <w:rPr>
                <w:rFonts w:ascii="FrankRuehl" w:hAnsi="FrankRuehl"/>
                <w:sz w:val="28"/>
                <w:rtl/>
              </w:rPr>
              <w:t>' 10 "</w:t>
            </w:r>
            <w:r>
              <w:rPr>
                <w:rFonts w:ascii="Miriam" w:hAnsi="Miriam" w:cs="Miriam"/>
                <w:sz w:val="24"/>
                <w:szCs w:val="24"/>
                <w:rtl/>
              </w:rPr>
              <w:t>השתמשו נגדי בכל סוגי העינוי וההשפלה</w:t>
            </w:r>
            <w:r>
              <w:rPr>
                <w:rFonts w:ascii="FrankRuehl" w:hAnsi="FrankRuehl"/>
                <w:sz w:val="28"/>
                <w:rtl/>
              </w:rPr>
              <w:t>" וכן בתצהיר מיום 27.7.2017 – פסקאות 2 ו-5 "</w:t>
            </w:r>
            <w:r>
              <w:rPr>
                <w:rFonts w:ascii="Miriam" w:hAnsi="Miriam" w:cs="Miriam"/>
                <w:sz w:val="24"/>
                <w:szCs w:val="24"/>
                <w:rtl/>
              </w:rPr>
              <w:t>עברתי עינויים פיזיים ונפשיים קשים מאוד</w:t>
            </w:r>
            <w:r>
              <w:rPr>
                <w:rFonts w:ascii="FrankRuehl" w:hAnsi="FrankRuehl"/>
                <w:sz w:val="28"/>
                <w:rtl/>
              </w:rPr>
              <w:t>" "</w:t>
            </w:r>
            <w:r>
              <w:rPr>
                <w:rFonts w:ascii="Miriam" w:hAnsi="Miriam" w:cs="Miriam"/>
                <w:sz w:val="24"/>
                <w:szCs w:val="24"/>
                <w:rtl/>
              </w:rPr>
              <w:t>במהלך העינויים שברו לי את השיניים</w:t>
            </w:r>
            <w:r>
              <w:rPr>
                <w:rFonts w:ascii="FrankRuehl" w:hAnsi="FrankRuehl"/>
                <w:sz w:val="28"/>
                <w:rtl/>
              </w:rPr>
              <w:t>" וכן בתצהיר התובע מיום א' סיון תשס"ג – עמ' 34 לראיות התובע "</w:t>
            </w:r>
            <w:r>
              <w:rPr>
                <w:rFonts w:ascii="Miriam" w:hAnsi="Miriam" w:cs="Miriam"/>
                <w:sz w:val="24"/>
                <w:szCs w:val="24"/>
                <w:rtl/>
              </w:rPr>
              <w:t>חלק מהסוגים של העינויים שקיבלתי היה הימשכות הפעולות לתת לי מכות ברגליים והידיים במקלות ובכבלי חשמל וצינורות מים ושיטת השבח קשירות ידיים ורגליים על הקיר לזמן ארוך בלי בגדים ובלי לישון</w:t>
            </w:r>
            <w:r>
              <w:rPr>
                <w:rFonts w:ascii="FrankRuehl" w:hAnsi="FrankRuehl"/>
                <w:sz w:val="28"/>
                <w:rtl/>
              </w:rPr>
              <w:t>" (פסקה 11). "</w:t>
            </w:r>
            <w:r>
              <w:rPr>
                <w:rFonts w:ascii="Miriam" w:hAnsi="Miriam" w:cs="Miriam"/>
                <w:sz w:val="24"/>
                <w:szCs w:val="24"/>
                <w:rtl/>
              </w:rPr>
              <w:t xml:space="preserve">היו שמים אותי בתוך התא </w:t>
            </w:r>
            <w:proofErr w:type="spellStart"/>
            <w:r>
              <w:rPr>
                <w:rFonts w:ascii="Miriam" w:hAnsi="Miriam" w:cs="Miriam"/>
                <w:sz w:val="24"/>
                <w:szCs w:val="24"/>
                <w:rtl/>
              </w:rPr>
              <w:t>זנזאנה</w:t>
            </w:r>
            <w:proofErr w:type="spellEnd"/>
            <w:r>
              <w:rPr>
                <w:rFonts w:ascii="Miriam" w:hAnsi="Miriam" w:cs="Miriam"/>
                <w:sz w:val="24"/>
                <w:szCs w:val="24"/>
                <w:rtl/>
              </w:rPr>
              <w:t xml:space="preserve"> לתקופה ארוכה בלי לצאת לשירותים לעשות צרכים. אז הייתי חייב להשתין על הבגדים שלי.. היו קושרים הרגליים שלי למעלה על רובה קלשניקוב וממשיכים לתת לי מכות במשך חצי שעה</w:t>
            </w:r>
            <w:r>
              <w:rPr>
                <w:rFonts w:ascii="FrankRuehl" w:hAnsi="FrankRuehl"/>
                <w:sz w:val="28"/>
                <w:rtl/>
              </w:rPr>
              <w:t xml:space="preserve">" (שם, סעיף 12).   </w:t>
            </w:r>
          </w:p>
          <w:p w:rsidR="00C632FF" w:rsidRDefault="00C632FF" w:rsidP="00C632FF">
            <w:pPr>
              <w:pStyle w:val="Ruller41"/>
              <w:tabs>
                <w:tab w:val="clear" w:pos="800"/>
                <w:tab w:val="left" w:pos="84"/>
                <w:tab w:val="left" w:pos="935"/>
              </w:tabs>
              <w:spacing w:before="120" w:after="120"/>
              <w:ind w:left="84"/>
              <w:rPr>
                <w:rFonts w:ascii="FrankRuehl" w:hAnsi="FrankRuehl"/>
                <w:sz w:val="4"/>
                <w:szCs w:val="4"/>
              </w:rPr>
            </w:pPr>
          </w:p>
          <w:p w:rsidR="00C632FF" w:rsidRDefault="00C632FF" w:rsidP="00C632FF">
            <w:pPr>
              <w:pStyle w:val="Ruller41"/>
              <w:numPr>
                <w:ilvl w:val="0"/>
                <w:numId w:val="2"/>
              </w:numPr>
              <w:tabs>
                <w:tab w:val="clear" w:pos="800"/>
                <w:tab w:val="left" w:pos="84"/>
                <w:tab w:val="left" w:pos="935"/>
              </w:tabs>
              <w:spacing w:before="120" w:after="120"/>
              <w:ind w:left="84" w:firstLine="0"/>
              <w:rPr>
                <w:rFonts w:ascii="FrankRuehl" w:hAnsi="FrankRuehl"/>
                <w:sz w:val="28"/>
              </w:rPr>
            </w:pPr>
            <w:r>
              <w:rPr>
                <w:rFonts w:ascii="FrankRuehl" w:hAnsi="FrankRuehl"/>
                <w:sz w:val="28"/>
                <w:rtl/>
              </w:rPr>
              <w:t>הרש"פ טוענת שהתובע סיפר בחקירתו ביום 7.6.2002 שבמהלך שהותו בכלא הוא ושותפיו לחדר היו "</w:t>
            </w:r>
            <w:r>
              <w:rPr>
                <w:rFonts w:ascii="Miriam" w:hAnsi="Miriam" w:cs="Miriam"/>
                <w:sz w:val="24"/>
                <w:szCs w:val="24"/>
                <w:rtl/>
              </w:rPr>
              <w:t>יושבים לפעמים מתפללים, קוראים ספרים</w:t>
            </w:r>
            <w:r>
              <w:rPr>
                <w:rFonts w:ascii="FrankRuehl" w:hAnsi="FrankRuehl"/>
                <w:sz w:val="28"/>
                <w:rtl/>
              </w:rPr>
              <w:t xml:space="preserve">" (שם, עמ' 40 </w:t>
            </w:r>
            <w:proofErr w:type="spellStart"/>
            <w:r>
              <w:rPr>
                <w:rFonts w:ascii="FrankRuehl" w:hAnsi="FrankRuehl"/>
                <w:sz w:val="28"/>
                <w:rtl/>
              </w:rPr>
              <w:t>שו</w:t>
            </w:r>
            <w:proofErr w:type="spellEnd"/>
            <w:r>
              <w:rPr>
                <w:rFonts w:ascii="FrankRuehl" w:hAnsi="FrankRuehl"/>
                <w:sz w:val="28"/>
                <w:rtl/>
              </w:rPr>
              <w:t>' 10) והדבר סותר את עדותו לפיה הוא עונה במהלך כל זמן שהותו בכלא. גם כאן מסלפת הרש"פ את גרסת התובע. גרסתו העקבית של התובע היא שהוא לא עונה פיזית במהלך כל זמן שהותו בכלא. התובע חזר וציין שעיקר העינויים היו בזמן חקירתו בחודשיים או שלושת החודשים הראשונים למעצר,  ולאחר מכן הוא נחקר ועונה בכל פעם שהגיע מידע חדש. הוא אף ציין זאת במפורש מיד לאחר שתיאר שהוא ושותפיו לתא היו מתפללים וקוראים ספרים ואמר "</w:t>
            </w:r>
            <w:r>
              <w:rPr>
                <w:rFonts w:ascii="Miriam" w:hAnsi="Miriam" w:cs="Miriam"/>
                <w:sz w:val="24"/>
                <w:szCs w:val="24"/>
                <w:rtl/>
              </w:rPr>
              <w:t xml:space="preserve">כל הזמן הייתי בחקירות. הייתי בחדר לתקופה זמנית. כל הזמן הייתי בחקירה </w:t>
            </w:r>
            <w:r>
              <w:rPr>
                <w:rFonts w:ascii="Miriam" w:hAnsi="Miriam" w:cs="Miriam"/>
                <w:b/>
                <w:bCs/>
                <w:sz w:val="24"/>
                <w:szCs w:val="24"/>
                <w:u w:val="single"/>
                <w:rtl/>
              </w:rPr>
              <w:t>כל פעם שהיה מידע</w:t>
            </w:r>
            <w:r>
              <w:rPr>
                <w:rFonts w:ascii="FrankRuehl" w:hAnsi="FrankRuehl"/>
                <w:sz w:val="28"/>
                <w:rtl/>
              </w:rPr>
              <w:t xml:space="preserve">" (שם </w:t>
            </w:r>
            <w:proofErr w:type="spellStart"/>
            <w:r>
              <w:rPr>
                <w:rFonts w:ascii="FrankRuehl" w:hAnsi="FrankRuehl"/>
                <w:sz w:val="28"/>
                <w:rtl/>
              </w:rPr>
              <w:t>שו</w:t>
            </w:r>
            <w:proofErr w:type="spellEnd"/>
            <w:r>
              <w:rPr>
                <w:rFonts w:ascii="FrankRuehl" w:hAnsi="FrankRuehl"/>
                <w:sz w:val="28"/>
                <w:rtl/>
              </w:rPr>
              <w:t xml:space="preserve">' 15-14). גרסה עקבית זו אינה סותרת את גרסת התובע לפיה בעת ששהה בתא הכלא ולא בחדר החקירות, הוא התפלל וקרא ספרים. </w:t>
            </w:r>
          </w:p>
          <w:p w:rsidR="00C632FF" w:rsidRDefault="00C632FF" w:rsidP="00C632FF">
            <w:pPr>
              <w:pStyle w:val="ad"/>
              <w:rPr>
                <w:rFonts w:ascii="FrankRuehl" w:hAnsi="FrankRuehl"/>
                <w:sz w:val="2"/>
                <w:szCs w:val="2"/>
              </w:rPr>
            </w:pPr>
          </w:p>
          <w:p w:rsidR="00C632FF" w:rsidRDefault="00C632FF" w:rsidP="00C632FF">
            <w:pPr>
              <w:pStyle w:val="Ruller41"/>
              <w:tabs>
                <w:tab w:val="clear" w:pos="800"/>
                <w:tab w:val="left" w:pos="84"/>
                <w:tab w:val="left" w:pos="935"/>
              </w:tabs>
              <w:spacing w:before="120" w:after="120"/>
              <w:ind w:left="84"/>
              <w:rPr>
                <w:rFonts w:ascii="FrankRuehl" w:hAnsi="FrankRuehl"/>
                <w:sz w:val="2"/>
                <w:szCs w:val="2"/>
                <w:rtl/>
              </w:rPr>
            </w:pPr>
          </w:p>
          <w:p w:rsidR="00C632FF" w:rsidRDefault="00C632FF" w:rsidP="00C632FF">
            <w:pPr>
              <w:pStyle w:val="Ruller41"/>
              <w:ind w:left="43"/>
              <w:rPr>
                <w:sz w:val="22"/>
              </w:rPr>
            </w:pPr>
            <w:r>
              <w:rPr>
                <w:rFonts w:ascii="FrankRuehl" w:hAnsi="FrankRuehl"/>
                <w:sz w:val="28"/>
                <w:rtl/>
              </w:rPr>
              <w:tab/>
              <w:t xml:space="preserve">בכל הנוגע לאופן שבו שוחרר התובע מן המעצר אכן יש חוסר עקביות </w:t>
            </w:r>
            <w:proofErr w:type="spellStart"/>
            <w:r>
              <w:rPr>
                <w:rFonts w:ascii="FrankRuehl" w:hAnsi="FrankRuehl"/>
                <w:sz w:val="28"/>
                <w:rtl/>
              </w:rPr>
              <w:t>מסויימת</w:t>
            </w:r>
            <w:proofErr w:type="spellEnd"/>
            <w:r>
              <w:rPr>
                <w:rFonts w:ascii="FrankRuehl" w:hAnsi="FrankRuehl"/>
                <w:sz w:val="28"/>
                <w:rtl/>
              </w:rPr>
              <w:t xml:space="preserve"> בדבריו ובדברי אשתו. בעוד שאשת התובע סיפרה בחקירתה שהיא פעלה לשחרורו של התובע וכי לאחר שמנהל הכלא הודיע לה בעת ביקורה בכלא שהתובע משוחרר, הוא חזר יחד אתה לביתם (עמ' 20 </w:t>
            </w:r>
            <w:proofErr w:type="spellStart"/>
            <w:r>
              <w:rPr>
                <w:rFonts w:ascii="FrankRuehl" w:hAnsi="FrankRuehl"/>
                <w:sz w:val="28"/>
                <w:rtl/>
              </w:rPr>
              <w:t>שו</w:t>
            </w:r>
            <w:proofErr w:type="spellEnd"/>
            <w:r>
              <w:rPr>
                <w:rFonts w:ascii="FrankRuehl" w:hAnsi="FrankRuehl"/>
                <w:sz w:val="28"/>
                <w:rtl/>
              </w:rPr>
              <w:t xml:space="preserve">' 17-13 לפרוטוקול הדיון מיום 7.6.2022). התובע לעומת זאת </w:t>
            </w:r>
            <w:r>
              <w:rPr>
                <w:rFonts w:ascii="FrankRuehl" w:hAnsi="FrankRuehl"/>
                <w:sz w:val="28"/>
                <w:rtl/>
              </w:rPr>
              <w:lastRenderedPageBreak/>
              <w:t xml:space="preserve">סיפר שחיילי צה"ל שיחררו אותו במבצע חומת מגן (שם, עמ' 39 </w:t>
            </w:r>
            <w:proofErr w:type="spellStart"/>
            <w:r>
              <w:rPr>
                <w:rFonts w:ascii="FrankRuehl" w:hAnsi="FrankRuehl"/>
                <w:sz w:val="28"/>
                <w:rtl/>
              </w:rPr>
              <w:t>שו</w:t>
            </w:r>
            <w:proofErr w:type="spellEnd"/>
            <w:r>
              <w:rPr>
                <w:rFonts w:ascii="FrankRuehl" w:hAnsi="FrankRuehl"/>
                <w:sz w:val="28"/>
                <w:rtl/>
              </w:rPr>
              <w:t>' 5). אך גם בכך אין כדי לכרסם בליבת גרסתו של התובע. ניתן ליישב את התיאורים השונים, באמצעות עדותו של התובע מיום 3.3.2011 שם תאר כי "</w:t>
            </w:r>
            <w:r>
              <w:rPr>
                <w:rFonts w:ascii="Miriam" w:hAnsi="Miriam" w:cs="Miriam"/>
                <w:sz w:val="24"/>
                <w:szCs w:val="24"/>
                <w:rtl/>
              </w:rPr>
              <w:t>הכניסה של צה"ל לאזור גרם לזה שישחררו אותי מן המעצר</w:t>
            </w:r>
            <w:r>
              <w:rPr>
                <w:rFonts w:ascii="FrankRuehl" w:hAnsi="FrankRuehl"/>
                <w:sz w:val="28"/>
                <w:rtl/>
              </w:rPr>
              <w:t xml:space="preserve">" (עמ' 51 </w:t>
            </w:r>
            <w:proofErr w:type="spellStart"/>
            <w:r>
              <w:rPr>
                <w:rFonts w:ascii="FrankRuehl" w:hAnsi="FrankRuehl"/>
                <w:sz w:val="28"/>
                <w:rtl/>
              </w:rPr>
              <w:t>שו</w:t>
            </w:r>
            <w:proofErr w:type="spellEnd"/>
            <w:r>
              <w:rPr>
                <w:rFonts w:ascii="FrankRuehl" w:hAnsi="FrankRuehl"/>
                <w:sz w:val="28"/>
                <w:rtl/>
              </w:rPr>
              <w:t xml:space="preserve">' 18 לראיות התובע). אולם אף אם אניח שלא ניתן ליישב בין הגרסאות, סתירה זו אינה נוגעת לשאלות שבמחלוקת שהן- האם התובע חווה עינויים ומה היקף העינויים - ולכן אין בה כדי להשפיע על המסקנה. אילו המחלוקת הייתה לגבי עצם הכליאה או אורך תקופת הכליאה יתכן והיה בסתירה בעניין אופן השחרור כדי להשפיע על תוצאת פסק הדין. יוער כי </w:t>
            </w:r>
            <w:r>
              <w:rPr>
                <w:rtl/>
              </w:rPr>
              <w:t xml:space="preserve">התובע צירף לסיכומיו את פרוטוקול איסטנבול (סדרת הדרכות מקצועיות מס' 8 - מהדורה ראשונה, מדריך בדבר חקירה ותיעוד אפקטיביים של עינויים וצורות ענישה אחרות של יחס ענישה אכזרית בלתי אנושית ומשפילה (האומות המאוחדות, ניו- יוק וג'נבה 2004))(להלן: </w:t>
            </w:r>
            <w:r>
              <w:rPr>
                <w:rFonts w:ascii="Miriam" w:hAnsi="Miriam" w:cs="Miriam"/>
                <w:sz w:val="24"/>
                <w:szCs w:val="24"/>
                <w:rtl/>
              </w:rPr>
              <w:t>פרוטוקול איסטנבול</w:t>
            </w:r>
            <w:r>
              <w:rPr>
                <w:rtl/>
              </w:rPr>
              <w:t xml:space="preserve">) שם מתואר, בין היתר, כי אנשים שחוו עינויים מתקשים לתאר פרטים של מעשי אלימות שחוו וכן שהם נוטים לתאר את האירועים בחוסר עקביות, בשל ההלם הפסיכולוגי והזיכרון הפגום שהוא תופעת לוואי של מחלות נפש הקשורות לטראומה. הרש"פ טוענת כי פרוטוקול איסטנבול איננו קביל משום שלא צורף במסגרת הראיות ומשום שעורכיו לא נחקרו. בהקשר זה אציין כי אף לו הייתי קובעת כי מדובר במסמך קביל, הרי שהמשקל הראייתי שיש לתת לו בקשר לתובע הספציפי הוא זניח. השפעת הטראומה על הזיכרון של התובע ועל האופן שבו הוא מסוגל לתאר חוויותיו, תלויה בין היתר במצבו הרפואי של התובע ולא הוצגה חוות דעת לעניין זה. אין בעובדה שככלל, עינויים עשויים להשפיע  על הזיכרון, כדי להעיד על כך שמצבו הנפשי של התובע שלפניי השפיע על האופן שבו הוא מתאר את חוויותיו. מכל מקום כפי שציינתי לעיל אני סבורה שהעדויות של התובע לאורך ההליך היו קוהרנטיות ואין לייחס משקל לשינויים זניחים בין הגרסאות.  </w:t>
            </w:r>
          </w:p>
          <w:p w:rsidR="00C632FF" w:rsidRDefault="00C632FF" w:rsidP="00C632FF">
            <w:pPr>
              <w:pStyle w:val="Ruller41"/>
              <w:ind w:left="43"/>
              <w:rPr>
                <w:rtl/>
              </w:rPr>
            </w:pPr>
          </w:p>
          <w:p w:rsidR="00C632FF" w:rsidRDefault="00C632FF" w:rsidP="00C632FF">
            <w:pPr>
              <w:pStyle w:val="Ruller41"/>
              <w:ind w:left="43"/>
              <w:rPr>
                <w:rtl/>
              </w:rPr>
            </w:pPr>
            <w:r>
              <w:rPr>
                <w:rtl/>
              </w:rPr>
              <w:tab/>
              <w:t xml:space="preserve">לכל אלה יש להוסיף שהרש"פ שטענה שיש  לה תיק רפואי לגבי כל עצור (תשובה לשאלה 13 - עמ' 55 לראיות התובע), לא טרחה להציג את התיק הרפואי של התובע שיש להניח שהיה בו כדי ללמד על הפגיעות הגופניות והנפשיות שחווה התובע בעת המעצר. נתון זה יש לזקוף לחובת הרש"פ. </w:t>
            </w:r>
          </w:p>
          <w:p w:rsidR="00C632FF" w:rsidRDefault="00C632FF" w:rsidP="00C632FF">
            <w:pPr>
              <w:pStyle w:val="Ruller41"/>
              <w:ind w:left="43"/>
              <w:rPr>
                <w:rtl/>
              </w:rPr>
            </w:pPr>
          </w:p>
          <w:p w:rsidR="00C632FF" w:rsidRDefault="00C632FF" w:rsidP="00D95D6A">
            <w:pPr>
              <w:pStyle w:val="Ruller41"/>
              <w:tabs>
                <w:tab w:val="clear" w:pos="800"/>
                <w:tab w:val="left" w:pos="43"/>
                <w:tab w:val="left" w:pos="935"/>
              </w:tabs>
              <w:spacing w:before="120" w:after="120"/>
              <w:rPr>
                <w:rFonts w:ascii="FrankRuehl" w:hAnsi="FrankRuehl"/>
                <w:sz w:val="28"/>
                <w:rtl/>
              </w:rPr>
            </w:pPr>
            <w:r>
              <w:rPr>
                <w:rFonts w:ascii="FrankRuehl" w:hAnsi="FrankRuehl"/>
                <w:sz w:val="28"/>
                <w:rtl/>
              </w:rPr>
              <w:lastRenderedPageBreak/>
              <w:t>1</w:t>
            </w:r>
            <w:r w:rsidR="00D95D6A">
              <w:rPr>
                <w:rFonts w:ascii="FrankRuehl" w:hAnsi="FrankRuehl" w:hint="cs"/>
                <w:sz w:val="28"/>
                <w:rtl/>
              </w:rPr>
              <w:t>4</w:t>
            </w:r>
            <w:r>
              <w:rPr>
                <w:rFonts w:ascii="FrankRuehl" w:hAnsi="FrankRuehl"/>
                <w:sz w:val="28"/>
                <w:rtl/>
              </w:rPr>
              <w:t>.</w:t>
            </w:r>
            <w:r>
              <w:rPr>
                <w:rFonts w:ascii="FrankRuehl" w:hAnsi="FrankRuehl"/>
                <w:sz w:val="28"/>
                <w:rtl/>
              </w:rPr>
              <w:tab/>
              <w:t xml:space="preserve">מסקנת הדברים היא שעלה בידי התובע להוכיח שהוא עונה באופן קשה ואכזרי הן מבחינה פיזית, כאשר קשרו את ידיו ורגליו והיכו אותו בכל חלקי גופו עם אלות וכבלי חשמל. הן מן הבחינה הנפשית, בעת שאיימו עליו שירצחו אותו כשם שרצחו שלושה אסירים אחרים. </w:t>
            </w:r>
            <w:r>
              <w:rPr>
                <w:rFonts w:ascii="FrankRuehl" w:hAnsi="FrankRuehl"/>
                <w:color w:val="000000" w:themeColor="text1"/>
                <w:sz w:val="28"/>
                <w:rtl/>
              </w:rPr>
              <w:t xml:space="preserve">העינויים הפיזיים </w:t>
            </w:r>
            <w:r>
              <w:rPr>
                <w:rFonts w:ascii="FrankRuehl" w:hAnsi="FrankRuehl"/>
                <w:sz w:val="28"/>
                <w:rtl/>
              </w:rPr>
              <w:t xml:space="preserve">התמקדו בעיקר בחודשיים או שלושת החודשים הראשונים של המעצר בעת שנחקר על ידי הרש"פ. יחד עם זאת העינויים לא פסקו בתום שלושת חודשי החקירה אלא הם חזרו בכל פעם שעלה חשד שהתובע קשור לאירועים </w:t>
            </w:r>
            <w:proofErr w:type="spellStart"/>
            <w:r>
              <w:rPr>
                <w:rFonts w:ascii="FrankRuehl" w:hAnsi="FrankRuehl"/>
                <w:sz w:val="28"/>
                <w:rtl/>
              </w:rPr>
              <w:t>מסויימים</w:t>
            </w:r>
            <w:proofErr w:type="spellEnd"/>
            <w:r>
              <w:rPr>
                <w:rFonts w:ascii="FrankRuehl" w:hAnsi="FrankRuehl"/>
                <w:sz w:val="28"/>
                <w:rtl/>
              </w:rPr>
              <w:t xml:space="preserve"> והרש"פ ראתה לנכון לחקור את התובע אודות המידע החדש שהגיע לידיה. התנהלות זו גרמה לכך שבכל תקופת הכליאה התובע היה מצוי בפחד מתמיד מפני הבאות, וההמצאות במצב זה אף היא התעללות ואכזריות בפני עצמה. </w:t>
            </w:r>
          </w:p>
          <w:p w:rsidR="00C632FF" w:rsidRDefault="00C632FF" w:rsidP="00C632FF">
            <w:pPr>
              <w:pStyle w:val="Ruller41"/>
              <w:rPr>
                <w:b/>
                <w:bCs/>
                <w:sz w:val="22"/>
                <w:u w:val="single"/>
              </w:rPr>
            </w:pPr>
          </w:p>
          <w:p w:rsidR="00C632FF" w:rsidRDefault="00C632FF" w:rsidP="00C632FF">
            <w:pPr>
              <w:pStyle w:val="Ruller41"/>
              <w:rPr>
                <w:b/>
                <w:bCs/>
                <w:u w:val="single"/>
                <w:rtl/>
              </w:rPr>
            </w:pPr>
            <w:r>
              <w:rPr>
                <w:b/>
                <w:bCs/>
                <w:u w:val="single"/>
                <w:rtl/>
              </w:rPr>
              <w:t>הנזק</w:t>
            </w:r>
          </w:p>
          <w:p w:rsidR="00C632FF" w:rsidRDefault="00C632FF" w:rsidP="00C632FF">
            <w:pPr>
              <w:pStyle w:val="Ruller41"/>
              <w:rPr>
                <w:b/>
                <w:bCs/>
                <w:u w:val="single"/>
                <w:rtl/>
              </w:rPr>
            </w:pPr>
          </w:p>
          <w:p w:rsidR="00C632FF" w:rsidRDefault="00C632FF" w:rsidP="00D95D6A">
            <w:pPr>
              <w:pStyle w:val="Ruller41"/>
              <w:rPr>
                <w:b/>
                <w:bCs/>
                <w:u w:val="single"/>
                <w:rtl/>
              </w:rPr>
            </w:pPr>
            <w:r>
              <w:rPr>
                <w:rtl/>
              </w:rPr>
              <w:t>1</w:t>
            </w:r>
            <w:r w:rsidR="00D95D6A">
              <w:rPr>
                <w:rFonts w:hint="cs"/>
                <w:rtl/>
              </w:rPr>
              <w:t>5</w:t>
            </w:r>
            <w:r>
              <w:rPr>
                <w:rtl/>
              </w:rPr>
              <w:t>.</w:t>
            </w:r>
            <w:r>
              <w:rPr>
                <w:rtl/>
              </w:rPr>
              <w:tab/>
              <w:t xml:space="preserve">העוולות נשוא התביעה בוצעו בשטחי הרשות הפלסטינית. כידוע, בהתאם לכללי המשפט הבינלאומי הפרטי, במצב הדברים הרגיל, הדין החל על עוולות </w:t>
            </w:r>
            <w:proofErr w:type="spellStart"/>
            <w:r>
              <w:rPr>
                <w:rtl/>
              </w:rPr>
              <w:t>בנזיקין</w:t>
            </w:r>
            <w:proofErr w:type="spellEnd"/>
            <w:r>
              <w:rPr>
                <w:rtl/>
              </w:rPr>
              <w:t xml:space="preserve"> הוא דין מקום ביצוע העוולה. עם זאת במקרה דנן, נוכח פסיקת בית המשפט העליון בעניין </w:t>
            </w:r>
            <w:r>
              <w:rPr>
                <w:rFonts w:ascii="Miriam" w:hAnsi="Miriam" w:cs="Miriam"/>
                <w:sz w:val="24"/>
                <w:szCs w:val="24"/>
                <w:rtl/>
              </w:rPr>
              <w:t>פלונים</w:t>
            </w:r>
            <w:r>
              <w:rPr>
                <w:rtl/>
              </w:rPr>
              <w:t xml:space="preserve"> (פסקה 9) כפי שפורשה על ידי בהחלטתי מיום 4.11.2021 (במסגרת ת"א 23420-06-17 </w:t>
            </w:r>
            <w:r>
              <w:rPr>
                <w:rFonts w:ascii="Miriam" w:hAnsi="Miriam" w:cs="Miriam"/>
                <w:sz w:val="24"/>
                <w:szCs w:val="24"/>
                <w:rtl/>
              </w:rPr>
              <w:t>פלוני נ' הרשות הפלסטינית</w:t>
            </w:r>
            <w:r>
              <w:rPr>
                <w:rtl/>
              </w:rPr>
              <w:t xml:space="preserve">), הדין החל על כלל תיקי התובעים שעניינם נדון בעניין </w:t>
            </w:r>
            <w:r>
              <w:rPr>
                <w:rFonts w:ascii="Miriam" w:hAnsi="Miriam" w:cs="Miriam"/>
                <w:sz w:val="24"/>
                <w:szCs w:val="24"/>
                <w:rtl/>
              </w:rPr>
              <w:t>פלונים</w:t>
            </w:r>
            <w:r>
              <w:rPr>
                <w:rtl/>
              </w:rPr>
              <w:t xml:space="preserve">, לרבות התובע שבפניי, הוא הדין הישראלי. לכן ראשי הנזק השונים יידונו בהתאם לדין הישראלי.  </w:t>
            </w:r>
          </w:p>
          <w:p w:rsidR="00C632FF" w:rsidRDefault="00C632FF" w:rsidP="00C632FF">
            <w:pPr>
              <w:pStyle w:val="Ruller41"/>
              <w:rPr>
                <w:b/>
                <w:bCs/>
                <w:u w:val="single"/>
                <w:rtl/>
              </w:rPr>
            </w:pPr>
          </w:p>
          <w:p w:rsidR="00C632FF" w:rsidRDefault="00C632FF" w:rsidP="00C632FF">
            <w:pPr>
              <w:pStyle w:val="Ruller41"/>
              <w:rPr>
                <w:b/>
                <w:bCs/>
                <w:u w:val="single"/>
                <w:rtl/>
              </w:rPr>
            </w:pPr>
            <w:r>
              <w:rPr>
                <w:b/>
                <w:bCs/>
                <w:u w:val="single"/>
                <w:rtl/>
              </w:rPr>
              <w:t>כליאת שווא</w:t>
            </w:r>
          </w:p>
          <w:p w:rsidR="00C632FF" w:rsidRDefault="00C632FF" w:rsidP="00C632FF">
            <w:pPr>
              <w:pStyle w:val="Ruller41"/>
              <w:rPr>
                <w:b/>
                <w:bCs/>
                <w:u w:val="single"/>
                <w:rtl/>
              </w:rPr>
            </w:pPr>
          </w:p>
          <w:p w:rsidR="00C632FF" w:rsidRDefault="00C632FF" w:rsidP="00D95D6A">
            <w:pPr>
              <w:pStyle w:val="Ruller41"/>
              <w:rPr>
                <w:rFonts w:ascii="FrankRuehl" w:hAnsi="FrankRuehl"/>
                <w:sz w:val="28"/>
                <w:rtl/>
              </w:rPr>
            </w:pPr>
            <w:r>
              <w:rPr>
                <w:rtl/>
              </w:rPr>
              <w:t>1</w:t>
            </w:r>
            <w:r w:rsidR="00D95D6A">
              <w:rPr>
                <w:rFonts w:hint="cs"/>
                <w:rtl/>
              </w:rPr>
              <w:t>6</w:t>
            </w:r>
            <w:r>
              <w:rPr>
                <w:rtl/>
              </w:rPr>
              <w:t xml:space="preserve">.  </w:t>
            </w:r>
            <w:r w:rsidR="00D95D6A">
              <w:rPr>
                <w:rFonts w:hint="cs"/>
                <w:rtl/>
              </w:rPr>
              <w:t xml:space="preserve">   </w:t>
            </w:r>
            <w:r>
              <w:rPr>
                <w:rtl/>
              </w:rPr>
              <w:t xml:space="preserve">כפי </w:t>
            </w:r>
            <w:proofErr w:type="spellStart"/>
            <w:r>
              <w:rPr>
                <w:rtl/>
              </w:rPr>
              <w:t>שצויין</w:t>
            </w:r>
            <w:proofErr w:type="spellEnd"/>
            <w:r>
              <w:rPr>
                <w:rtl/>
              </w:rPr>
              <w:t xml:space="preserve"> לעיל, התובע נכלא שלא כדין </w:t>
            </w:r>
            <w:r>
              <w:rPr>
                <w:rFonts w:ascii="FrankRuehl" w:hAnsi="FrankRuehl"/>
                <w:sz w:val="28"/>
                <w:rtl/>
              </w:rPr>
              <w:t xml:space="preserve">מיום 18.4.2001 ועד שחרורו ביום 28.5.2002  ובסך </w:t>
            </w:r>
            <w:proofErr w:type="spellStart"/>
            <w:r>
              <w:rPr>
                <w:rFonts w:ascii="FrankRuehl" w:hAnsi="FrankRuehl"/>
                <w:sz w:val="28"/>
                <w:rtl/>
              </w:rPr>
              <w:t>הכל</w:t>
            </w:r>
            <w:proofErr w:type="spellEnd"/>
            <w:r>
              <w:rPr>
                <w:rFonts w:ascii="FrankRuehl" w:hAnsi="FrankRuehl"/>
                <w:sz w:val="28"/>
                <w:rtl/>
              </w:rPr>
              <w:t xml:space="preserve">  405 ימים. </w:t>
            </w:r>
          </w:p>
          <w:p w:rsidR="00C632FF" w:rsidRDefault="00C632FF" w:rsidP="00C632FF">
            <w:pPr>
              <w:pStyle w:val="Ruller41"/>
              <w:rPr>
                <w:rFonts w:ascii="FrankRuehl" w:hAnsi="FrankRuehl"/>
                <w:sz w:val="28"/>
                <w:rtl/>
              </w:rPr>
            </w:pPr>
          </w:p>
          <w:p w:rsidR="00C632FF" w:rsidRDefault="00C632FF" w:rsidP="00D95D6A">
            <w:pPr>
              <w:pStyle w:val="Ruller41"/>
              <w:rPr>
                <w:sz w:val="22"/>
                <w:rtl/>
              </w:rPr>
            </w:pPr>
            <w:r>
              <w:rPr>
                <w:rFonts w:ascii="FrankRuehl" w:hAnsi="FrankRuehl"/>
                <w:sz w:val="28"/>
                <w:rtl/>
              </w:rPr>
              <w:t>1</w:t>
            </w:r>
            <w:r w:rsidR="00D95D6A">
              <w:rPr>
                <w:rFonts w:ascii="FrankRuehl" w:hAnsi="FrankRuehl" w:hint="cs"/>
                <w:sz w:val="28"/>
                <w:rtl/>
              </w:rPr>
              <w:t>7</w:t>
            </w:r>
            <w:r>
              <w:rPr>
                <w:rFonts w:ascii="FrankRuehl" w:hAnsi="FrankRuehl"/>
                <w:sz w:val="28"/>
                <w:rtl/>
              </w:rPr>
              <w:t>.</w:t>
            </w:r>
            <w:r>
              <w:rPr>
                <w:rFonts w:ascii="FrankRuehl" w:hAnsi="FrankRuehl"/>
                <w:sz w:val="28"/>
                <w:rtl/>
              </w:rPr>
              <w:tab/>
              <w:t xml:space="preserve">בעניין </w:t>
            </w:r>
            <w:r>
              <w:rPr>
                <w:rFonts w:ascii="Miriam" w:hAnsi="Miriam" w:cs="Miriam"/>
                <w:sz w:val="24"/>
                <w:szCs w:val="24"/>
                <w:rtl/>
              </w:rPr>
              <w:t>פלונים</w:t>
            </w:r>
            <w:r>
              <w:rPr>
                <w:rFonts w:ascii="FrankRuehl" w:hAnsi="FrankRuehl"/>
                <w:sz w:val="28"/>
                <w:rtl/>
              </w:rPr>
              <w:t xml:space="preserve">, נדונו כאמור עניינם של תובעים שלגביהם נקבע במסגרת החלטת החבות שהם נכלאו שלא כדין ועונו על ידי הרש"פ. כן נדון פסק דינו החלקי של בית המשפט </w:t>
            </w:r>
            <w:r>
              <w:rPr>
                <w:rFonts w:ascii="FrankRuehl" w:hAnsi="FrankRuehl"/>
                <w:sz w:val="28"/>
                <w:rtl/>
              </w:rPr>
              <w:lastRenderedPageBreak/>
              <w:t xml:space="preserve">המחוזי מיום 28.6.2018 שבמסגרתו נפסק לכל אחד מהתובעים, לרבות התובע שבפניי, סך של 422 ₪ לכל יום שבו היה כלוא כאשר יתרת הפיצוי בגין יתר ראשי הנזק יפסקו לאחר שמיעת ראיות בעניינו של כל תובע ותובע בנפרד. סכום הפיצוי בסך 422 ₪ בגין כל יום של כליאת שווא, נפסק בהתאם לשיעור הפיצוי הקבוע בתקנה 8(א) לתקנות סדר הדין הפלילי (פיצויים בשל מעצר או מאסר), </w:t>
            </w:r>
            <w:proofErr w:type="spellStart"/>
            <w:r>
              <w:rPr>
                <w:rFonts w:ascii="FrankRuehl" w:hAnsi="FrankRuehl"/>
                <w:sz w:val="28"/>
                <w:rtl/>
              </w:rPr>
              <w:t>התשמ"ב</w:t>
            </w:r>
            <w:proofErr w:type="spellEnd"/>
            <w:r>
              <w:rPr>
                <w:rFonts w:ascii="FrankRuehl" w:hAnsi="FrankRuehl"/>
                <w:sz w:val="28"/>
                <w:rtl/>
              </w:rPr>
              <w:t xml:space="preserve"> - 1982 (להלן: </w:t>
            </w:r>
            <w:r>
              <w:rPr>
                <w:rFonts w:ascii="Miriam" w:hAnsi="Miriam" w:cs="Miriam"/>
                <w:sz w:val="24"/>
                <w:szCs w:val="24"/>
                <w:rtl/>
              </w:rPr>
              <w:t>תקנות העונשין</w:t>
            </w:r>
            <w:r>
              <w:rPr>
                <w:rFonts w:ascii="FrankRuehl" w:hAnsi="FrankRuehl"/>
                <w:sz w:val="28"/>
                <w:rtl/>
              </w:rPr>
              <w:t xml:space="preserve">). </w:t>
            </w:r>
            <w:r>
              <w:rPr>
                <w:rtl/>
              </w:rPr>
              <w:t xml:space="preserve">התובעים טענו כי בכך סטה בית המשפט המחוזי מההלכה לפיה אין להשתמש בתקנות העונשין לקביעת פיצוי בהליך אזרחי וכי מכל מקום הפיצוי שנפסק לפגיעה בחירותם של התובעים הוא נמוך ומנוגד לפסיקה וכי היה על בית המשפט לפסוק לתובעים בגין כל יום של כליאת שווא לפחות 3,000 ₪ וכן שיש לכלול בפיצוי בגין שלילת החירות גם את הצער, הבושה וחוסר האונים הנלווה לכליאה ולא רק את אבדן ההשתכרות, שזהו הפרמטר היחיד הנלקח בחשבון בעת פסיקת פיצויים לפי תקנות העונשין. הרש"פ טענה מנגד, שעל פי הדין המקומי וממוצע השכר בשטחים, שהוא מקום מושבם של התובעים בעת </w:t>
            </w:r>
            <w:r>
              <w:rPr>
                <w:color w:val="000000" w:themeColor="text1"/>
                <w:rtl/>
              </w:rPr>
              <w:t xml:space="preserve">הכליאה, הפיצוי צריך להיות נמוך בהרבה. כן נטען שאין מקום לפעולה מתמטית של הכפלת מספר </w:t>
            </w:r>
            <w:r>
              <w:rPr>
                <w:rtl/>
              </w:rPr>
              <w:t xml:space="preserve">ימי הכליאה בתעריך יומי וכי הפיצוי בגין כליאת שווא הוא פיצוי על נזק לא ממוני שחופף לראש הנזק של כאב וסבל ופיצויים מוגברים וכן הוא כולל פיצוי על הפסד השתכרות. </w:t>
            </w:r>
          </w:p>
          <w:p w:rsidR="00C632FF" w:rsidRDefault="00C632FF" w:rsidP="00C632FF">
            <w:pPr>
              <w:pStyle w:val="Ruller41"/>
              <w:rPr>
                <w:rtl/>
              </w:rPr>
            </w:pPr>
          </w:p>
          <w:p w:rsidR="00C632FF" w:rsidRDefault="00C632FF" w:rsidP="00D95D6A">
            <w:pPr>
              <w:pStyle w:val="Ruller41"/>
            </w:pPr>
            <w:r>
              <w:rPr>
                <w:rtl/>
              </w:rPr>
              <w:t>1</w:t>
            </w:r>
            <w:r w:rsidR="00D95D6A">
              <w:rPr>
                <w:rFonts w:hint="cs"/>
                <w:rtl/>
              </w:rPr>
              <w:t>8</w:t>
            </w:r>
            <w:r>
              <w:rPr>
                <w:rtl/>
              </w:rPr>
              <w:t>.</w:t>
            </w:r>
            <w:r>
              <w:rPr>
                <w:rtl/>
              </w:rPr>
              <w:tab/>
              <w:t xml:space="preserve">בית המשפט העליון בעניין </w:t>
            </w:r>
            <w:r>
              <w:rPr>
                <w:rFonts w:ascii="Miriam" w:hAnsi="Miriam" w:cs="Miriam"/>
                <w:sz w:val="24"/>
                <w:szCs w:val="24"/>
                <w:rtl/>
              </w:rPr>
              <w:t>פלונים</w:t>
            </w:r>
            <w:r>
              <w:rPr>
                <w:rtl/>
              </w:rPr>
              <w:t xml:space="preserve"> דחה את טענת הרש"פ לפיה ההסדר הקבוע בתקנות העונשין הוא בבחינת הסדר ממצה. עם זאת ציין כי אין להתעלם מכך שהסכום שנקבע על פי תקנות העונשין משקף התחשבות בשכר הממוצע במשק וכי בעת חישוב אבדן ההשתכרות והפיצוי בגין כאב וסבל בעת מתן פסק הדין הסופי יהיה על בית המשפט להתחשב בסכומים שנפסקו במסגרת פסק הדין החלקי (עניין </w:t>
            </w:r>
            <w:r>
              <w:rPr>
                <w:rFonts w:ascii="Miriam" w:hAnsi="Miriam" w:cs="Miriam"/>
                <w:sz w:val="24"/>
                <w:szCs w:val="24"/>
                <w:rtl/>
              </w:rPr>
              <w:t>פלונים</w:t>
            </w:r>
            <w:r>
              <w:rPr>
                <w:rtl/>
              </w:rPr>
              <w:t>, פסקה 24). בכל הנוגע לטענות התובעים, ציין בית המשפט כי במהלך הדיון בערעור על פסק הדין החלקי, הובהר לתובעים שהסכום שנפסק בגין כליאת השווא במסגרת פסק הדין החלקי הוא בבחינת חישוב  מתמטי של הנזק שנגרם להם בראש הנזק של אבדן החירות בלבד - לצורך פסק הדין החלקי - וכי בשלב השני של קביעת הנזק יעמדו להם טענותיהם כי יש להגדיל את שיעור הפיצוי בגין הנזק הלא ממוני שנגרם להם בעקבות כליאתם שכן בהתאם לפסיקה מסכום הפיצוי על פי הוראת תקנה 8 לתקנות העונשין "</w:t>
            </w:r>
            <w:r>
              <w:rPr>
                <w:rFonts w:ascii="Miriam" w:hAnsi="Miriam" w:cs="Miriam"/>
                <w:sz w:val="24"/>
                <w:szCs w:val="24"/>
                <w:rtl/>
              </w:rPr>
              <w:t>נעדר '</w:t>
            </w:r>
            <w:proofErr w:type="spellStart"/>
            <w:r>
              <w:rPr>
                <w:rFonts w:ascii="Miriam" w:hAnsi="Miriam" w:cs="Miriam"/>
                <w:sz w:val="24"/>
                <w:szCs w:val="24"/>
                <w:rtl/>
              </w:rPr>
              <w:t>המימד</w:t>
            </w:r>
            <w:proofErr w:type="spellEnd"/>
            <w:r>
              <w:rPr>
                <w:rFonts w:ascii="Miriam" w:hAnsi="Miriam" w:cs="Miriam"/>
                <w:sz w:val="24"/>
                <w:szCs w:val="24"/>
                <w:rtl/>
              </w:rPr>
              <w:t xml:space="preserve"> של הצער והבושה וחוסר האונים הנלווים למאסר או מעצר'. בעקבות הבהרה זאת, חזרו בהם המשיבים מערעורם</w:t>
            </w:r>
            <w:r>
              <w:rPr>
                <w:rtl/>
              </w:rPr>
              <w:t xml:space="preserve">" (שם, </w:t>
            </w:r>
            <w:r>
              <w:rPr>
                <w:rtl/>
              </w:rPr>
              <w:lastRenderedPageBreak/>
              <w:t>סוף פסקה 23). בהמשך לכך סוכמה ההכרעה בעניין הפיצוי שניתן עבור ימי הכליאה כך "</w:t>
            </w:r>
            <w:r>
              <w:rPr>
                <w:rFonts w:ascii="Miriam" w:hAnsi="Miriam" w:cs="Miriam"/>
                <w:sz w:val="24"/>
                <w:szCs w:val="24"/>
                <w:rtl/>
              </w:rPr>
              <w:t>ערעור המשיבים (ע"א 6966/18) נדחה בהסכמתם, ומובהר כי הסכום שנפסק לזכותם הוא בבחינת חישוב של הנזק שנגרם בראש הנזק של אבדן חירות בלבד, וכי בשלב השני של קביעת הנזק תעמודנה להם טענותיהם כי יש להגדיל את הפיצוי בגין נזק לא ממוני שנגרם בעקבות כליאתם</w:t>
            </w:r>
            <w:r>
              <w:rPr>
                <w:rtl/>
              </w:rPr>
              <w:t xml:space="preserve">" (שם, פסקה 28). </w:t>
            </w:r>
          </w:p>
          <w:p w:rsidR="00C632FF" w:rsidRDefault="00C632FF" w:rsidP="00C632FF">
            <w:pPr>
              <w:pStyle w:val="Ruller41"/>
              <w:rPr>
                <w:rtl/>
              </w:rPr>
            </w:pPr>
          </w:p>
          <w:p w:rsidR="00C632FF" w:rsidRDefault="00D95D6A" w:rsidP="00C632FF">
            <w:pPr>
              <w:pStyle w:val="Ruller41"/>
              <w:rPr>
                <w:rtl/>
              </w:rPr>
            </w:pPr>
            <w:r>
              <w:rPr>
                <w:rFonts w:hint="cs"/>
                <w:rtl/>
              </w:rPr>
              <w:t>19</w:t>
            </w:r>
            <w:r w:rsidR="00C632FF">
              <w:rPr>
                <w:rtl/>
              </w:rPr>
              <w:t>.</w:t>
            </w:r>
            <w:r w:rsidR="00C632FF">
              <w:rPr>
                <w:rtl/>
              </w:rPr>
              <w:tab/>
              <w:t xml:space="preserve">הצדדים בקשו לתמוך את טענותיהם, כל אחד בדרכו, בדברים שנאמרו בעניין </w:t>
            </w:r>
            <w:r w:rsidR="00C632FF">
              <w:rPr>
                <w:rFonts w:ascii="Miriam" w:hAnsi="Miriam" w:cs="Miriam"/>
                <w:sz w:val="24"/>
                <w:szCs w:val="24"/>
                <w:rtl/>
              </w:rPr>
              <w:t>פלונים</w:t>
            </w:r>
            <w:r w:rsidR="00C632FF">
              <w:rPr>
                <w:rtl/>
              </w:rPr>
              <w:t xml:space="preserve"> על מנת לשכנע מדוע לשיטתו הפיצוי שיש לפסוק לתובע, גבוה או נמוך מזה שנפסק בעניין </w:t>
            </w:r>
            <w:r w:rsidR="00C632FF">
              <w:rPr>
                <w:rFonts w:ascii="Miriam" w:hAnsi="Miriam" w:cs="Miriam"/>
                <w:sz w:val="24"/>
                <w:szCs w:val="24"/>
                <w:rtl/>
              </w:rPr>
              <w:t>פלונים</w:t>
            </w:r>
            <w:r w:rsidR="00C632FF">
              <w:rPr>
                <w:rtl/>
              </w:rPr>
              <w:t xml:space="preserve">. כך, התובע טוען כי בעניין </w:t>
            </w:r>
            <w:r w:rsidR="00C632FF">
              <w:rPr>
                <w:rFonts w:ascii="Miriam" w:hAnsi="Miriam" w:cs="Miriam"/>
                <w:sz w:val="24"/>
                <w:szCs w:val="24"/>
                <w:rtl/>
              </w:rPr>
              <w:t>פלונים</w:t>
            </w:r>
            <w:r w:rsidR="00C632FF">
              <w:rPr>
                <w:rtl/>
              </w:rPr>
              <w:t xml:space="preserve"> הובהר שהסכום שנפסק בהתאם לתקנות העונשין הוא בבחינת "</w:t>
            </w:r>
            <w:r w:rsidR="00C632FF">
              <w:rPr>
                <w:rFonts w:ascii="Miriam" w:hAnsi="Miriam" w:cs="Miriam"/>
                <w:sz w:val="24"/>
                <w:szCs w:val="24"/>
                <w:rtl/>
              </w:rPr>
              <w:t>חישוב של הנזק שנגרם להם בראש הנזק של אבדן חירות בלבד</w:t>
            </w:r>
            <w:r w:rsidR="00C632FF">
              <w:rPr>
                <w:rtl/>
              </w:rPr>
              <w:t>" וכי בשלב השני של קביעת הנזק הכולל, תעמודנה להם טענותיהם כי "</w:t>
            </w:r>
            <w:r w:rsidR="00C632FF">
              <w:rPr>
                <w:rFonts w:ascii="Miriam" w:hAnsi="Miriam" w:cs="Miriam"/>
                <w:b/>
                <w:bCs/>
                <w:sz w:val="24"/>
                <w:szCs w:val="24"/>
                <w:u w:val="single"/>
                <w:rtl/>
              </w:rPr>
              <w:t>יש להגדיל את הפיצוי בגין נזק לא ממוני שנגרם להם בעקבות כליאתם</w:t>
            </w:r>
            <w:r w:rsidR="00C632FF">
              <w:rPr>
                <w:rtl/>
              </w:rPr>
              <w:t xml:space="preserve">" [ההדגשה בסעיף 19 לסיכומי התובע].  מכאן מסיק התובע כי בנוסף לפיצוי שהוענק לו במסגרת פסק הדין החלקי בגין אבדן החירות בסך 422 ₪ בהתאם לתקנות העונשין לכל יום כליאה, יש להעניק לו פיצוי נוסף בגין הכאב הסבל והבושה שנגרמו לו בעת כליאת השווא כך שהוא יפוצה על כל יום כליאה בסכום נוסף בסך 4,580 ₪ ובסך </w:t>
            </w:r>
            <w:proofErr w:type="spellStart"/>
            <w:r w:rsidR="00C632FF">
              <w:rPr>
                <w:rtl/>
              </w:rPr>
              <w:t>הכל</w:t>
            </w:r>
            <w:proofErr w:type="spellEnd"/>
            <w:r w:rsidR="00C632FF">
              <w:rPr>
                <w:rtl/>
              </w:rPr>
              <w:t xml:space="preserve"> בסכום נוסף של 1,854,000 ₪. </w:t>
            </w:r>
          </w:p>
          <w:p w:rsidR="00C632FF" w:rsidRDefault="00C632FF" w:rsidP="00C632FF">
            <w:pPr>
              <w:pStyle w:val="Ruller41"/>
              <w:rPr>
                <w:rtl/>
              </w:rPr>
            </w:pPr>
          </w:p>
          <w:p w:rsidR="00C632FF" w:rsidRDefault="00C632FF" w:rsidP="00D95D6A">
            <w:pPr>
              <w:pStyle w:val="Ruller41"/>
              <w:rPr>
                <w:rtl/>
              </w:rPr>
            </w:pPr>
            <w:r>
              <w:rPr>
                <w:rtl/>
              </w:rPr>
              <w:t>2</w:t>
            </w:r>
            <w:r w:rsidR="00D95D6A">
              <w:rPr>
                <w:rFonts w:hint="cs"/>
                <w:rtl/>
              </w:rPr>
              <w:t>0</w:t>
            </w:r>
            <w:r>
              <w:rPr>
                <w:rtl/>
              </w:rPr>
              <w:t>.</w:t>
            </w:r>
            <w:r>
              <w:rPr>
                <w:rtl/>
              </w:rPr>
              <w:tab/>
              <w:t xml:space="preserve">הרש"פ טוענת מנגד, כי יש לפרש את פסק דינו של בית המשפט העליון בעניין </w:t>
            </w:r>
            <w:r>
              <w:rPr>
                <w:rFonts w:ascii="Miriam" w:hAnsi="Miriam" w:cs="Miriam"/>
                <w:sz w:val="24"/>
                <w:szCs w:val="24"/>
                <w:rtl/>
              </w:rPr>
              <w:t>פלונים</w:t>
            </w:r>
            <w:r>
              <w:rPr>
                <w:rtl/>
              </w:rPr>
              <w:t xml:space="preserve"> בקשר לפיצויים בגין כליאת השווא, כפסק דין "על חשבון" וכי בית המשפט העליון לא הכיר בכליאת שווא כראש נזק נפרד אלא קבע שבחישוב אבדן ההשתכרות והפיצוי בגין כאב וסבל יהיה על בית המשפט להתחשב בסכומים שנפסקו בפסק הדין החלקי. לטענת הרש"פ הנזק בגין כליאת השווא הוא נזק חופף וחלק מן הפיצוי בגין כאב וסבל ואין לתת פיצוי נפרד בגין כך וכי בכל מקרה אין ליצור אמת מידה אחידה לפיצוי הנגזר ממכפלת ימי הכליאה וכי יש להתחשב בנסיבות הספציפיות של המעצר בכל מקרה ומקרה. הרש"פ מציינת כי אין להשוות את ענייננו למקרים שאליהם הפנה התובע ואשר בהם נפסק פיצוי רק בגין הכליאה ולא נכללו ראשי נזק נוספים כמו בענייננו. </w:t>
            </w:r>
          </w:p>
          <w:p w:rsidR="00C632FF" w:rsidRDefault="00C632FF" w:rsidP="00C632FF">
            <w:pPr>
              <w:pStyle w:val="Ruller41"/>
              <w:rPr>
                <w:rtl/>
              </w:rPr>
            </w:pPr>
          </w:p>
          <w:p w:rsidR="00C632FF" w:rsidRDefault="00C632FF" w:rsidP="00D95D6A">
            <w:pPr>
              <w:pStyle w:val="Ruller41"/>
              <w:rPr>
                <w:szCs w:val="26"/>
                <w:rtl/>
              </w:rPr>
            </w:pPr>
            <w:r>
              <w:rPr>
                <w:rtl/>
              </w:rPr>
              <w:lastRenderedPageBreak/>
              <w:t>2</w:t>
            </w:r>
            <w:r w:rsidR="00D95D6A">
              <w:rPr>
                <w:rFonts w:hint="cs"/>
                <w:rtl/>
              </w:rPr>
              <w:t>1</w:t>
            </w:r>
            <w:r>
              <w:rPr>
                <w:rtl/>
              </w:rPr>
              <w:t>.</w:t>
            </w:r>
            <w:r>
              <w:rPr>
                <w:rtl/>
              </w:rPr>
              <w:tab/>
              <w:t xml:space="preserve">כפי שציינתי בפסק דיני בת"א 14057-09-19, </w:t>
            </w:r>
            <w:r>
              <w:rPr>
                <w:rFonts w:ascii="Miriam" w:hAnsi="Miriam" w:cs="Miriam"/>
                <w:sz w:val="24"/>
                <w:szCs w:val="24"/>
                <w:rtl/>
              </w:rPr>
              <w:t>פלוני נ' הרשות הפלסטינית</w:t>
            </w:r>
            <w:r>
              <w:rPr>
                <w:rtl/>
              </w:rPr>
              <w:t xml:space="preserve">)(12.2.2023)(שהוא פסק דיני הראשון בתביעות נגד הרש"פ בגין כליאה ועינויים, להלן: </w:t>
            </w:r>
            <w:r>
              <w:rPr>
                <w:rFonts w:ascii="Miriam" w:hAnsi="Miriam" w:cs="Miriam"/>
                <w:sz w:val="24"/>
                <w:szCs w:val="24"/>
                <w:rtl/>
              </w:rPr>
              <w:t>עניין פלוני 1</w:t>
            </w:r>
            <w:r>
              <w:rPr>
                <w:rtl/>
              </w:rPr>
              <w:t xml:space="preserve">), </w:t>
            </w:r>
            <w:r>
              <w:rPr>
                <w:rFonts w:ascii="FrankRuehl" w:hAnsi="FrankRuehl"/>
                <w:sz w:val="28"/>
                <w:rtl/>
              </w:rPr>
              <w:t xml:space="preserve">סקירת הפסיקה בנוגע </w:t>
            </w:r>
            <w:r>
              <w:rPr>
                <w:rFonts w:ascii="FrankRuehl" w:hAnsi="FrankRuehl"/>
                <w:color w:val="000000" w:themeColor="text1"/>
                <w:sz w:val="28"/>
                <w:rtl/>
              </w:rPr>
              <w:t>לכליאת שווא מלמדת כי הסכומים שנפסקים בגין כליאת שווא נעים בין 1,000 ₪ ל- 10,000 ₪ כאשר בכליאת שווא לתקופות ארוכות יותר, הסכום שנפסק עבור כל יום נמוך יותר</w:t>
            </w:r>
            <w:r>
              <w:rPr>
                <w:color w:val="000000" w:themeColor="text1"/>
                <w:rtl/>
              </w:rPr>
              <w:t xml:space="preserve"> (</w:t>
            </w:r>
            <w:r>
              <w:rPr>
                <w:rFonts w:ascii="FrankRuehl" w:hAnsi="FrankRuehl"/>
                <w:color w:val="000000" w:themeColor="text1"/>
                <w:sz w:val="28"/>
                <w:rtl/>
              </w:rPr>
              <w:t>רע"א  5932/08</w:t>
            </w:r>
            <w:r>
              <w:rPr>
                <w:rFonts w:ascii="Miriam" w:hAnsi="Miriam" w:cs="Miriam"/>
                <w:color w:val="000000" w:themeColor="text1"/>
                <w:sz w:val="24"/>
                <w:szCs w:val="24"/>
                <w:rtl/>
              </w:rPr>
              <w:t xml:space="preserve"> עמי שירי נ' מדינת ישראל - שירות בתי הסוהר</w:t>
            </w:r>
            <w:r>
              <w:rPr>
                <w:color w:val="000000" w:themeColor="text1"/>
                <w:sz w:val="24"/>
                <w:szCs w:val="24"/>
                <w:rtl/>
              </w:rPr>
              <w:t xml:space="preserve"> </w:t>
            </w:r>
            <w:r>
              <w:rPr>
                <w:color w:val="000000" w:themeColor="text1"/>
                <w:rtl/>
              </w:rPr>
              <w:t xml:space="preserve"> (25.8.2010) </w:t>
            </w:r>
            <w:r>
              <w:rPr>
                <w:rFonts w:ascii="FrankRuehl" w:hAnsi="FrankRuehl"/>
                <w:color w:val="000000" w:themeColor="text1"/>
                <w:sz w:val="28"/>
                <w:rtl/>
              </w:rPr>
              <w:t>שם נפסקו 3,000 ₪ לכל יום כליאה למשך 29 ימים</w:t>
            </w:r>
            <w:r>
              <w:rPr>
                <w:color w:val="000000" w:themeColor="text1"/>
                <w:rtl/>
              </w:rPr>
              <w:t xml:space="preserve">; רע"א 4672/14 </w:t>
            </w:r>
            <w:r>
              <w:rPr>
                <w:rFonts w:ascii="Miriam" w:hAnsi="Miriam" w:cs="Miriam"/>
                <w:color w:val="000000" w:themeColor="text1"/>
                <w:sz w:val="24"/>
                <w:szCs w:val="24"/>
                <w:rtl/>
              </w:rPr>
              <w:t xml:space="preserve"> יהודה גליק נ' מדינת ישראל</w:t>
            </w:r>
            <w:r>
              <w:rPr>
                <w:color w:val="000000" w:themeColor="text1"/>
                <w:rtl/>
              </w:rPr>
              <w:t xml:space="preserve">, </w:t>
            </w:r>
            <w:r>
              <w:rPr>
                <w:rFonts w:ascii="FrankRuehl" w:hAnsi="FrankRuehl"/>
                <w:color w:val="000000" w:themeColor="text1"/>
                <w:sz w:val="28"/>
                <w:rtl/>
              </w:rPr>
              <w:t xml:space="preserve">פסקה </w:t>
            </w:r>
            <w:proofErr w:type="spellStart"/>
            <w:r>
              <w:rPr>
                <w:rFonts w:ascii="FrankRuehl" w:hAnsi="FrankRuehl"/>
                <w:color w:val="000000" w:themeColor="text1"/>
                <w:sz w:val="28"/>
                <w:rtl/>
              </w:rPr>
              <w:t>יג</w:t>
            </w:r>
            <w:proofErr w:type="spellEnd"/>
            <w:r>
              <w:rPr>
                <w:rFonts w:ascii="FrankRuehl" w:hAnsi="FrankRuehl"/>
                <w:color w:val="000000" w:themeColor="text1"/>
                <w:sz w:val="28"/>
                <w:rtl/>
              </w:rPr>
              <w:t xml:space="preserve"> והאסמכתאות שם (6.1.2015)). במקרה דנן, כמו גם בעניין </w:t>
            </w:r>
            <w:r>
              <w:rPr>
                <w:rFonts w:ascii="Miriam" w:hAnsi="Miriam" w:cs="Miriam"/>
                <w:color w:val="000000" w:themeColor="text1"/>
                <w:sz w:val="24"/>
                <w:szCs w:val="24"/>
                <w:rtl/>
              </w:rPr>
              <w:t>פלוני 1</w:t>
            </w:r>
            <w:r>
              <w:rPr>
                <w:rFonts w:ascii="FrankRuehl" w:hAnsi="FrankRuehl"/>
                <w:color w:val="000000" w:themeColor="text1"/>
                <w:sz w:val="28"/>
                <w:rtl/>
              </w:rPr>
              <w:t xml:space="preserve">, מדובר בכליאה לתקופה ארוכה (הגם ששם דובר בתקופה ארוכה יותר) ולכן מן הטעמים שפורטו שם (פסקה 71)  אני סבורה שהסכום שפסק כב' השופט </w:t>
            </w:r>
            <w:r>
              <w:rPr>
                <w:rFonts w:ascii="Miriam" w:hAnsi="Miriam" w:cs="Miriam"/>
                <w:color w:val="000000" w:themeColor="text1"/>
                <w:sz w:val="24"/>
                <w:szCs w:val="24"/>
                <w:rtl/>
              </w:rPr>
              <w:t>דרורי</w:t>
            </w:r>
            <w:r>
              <w:rPr>
                <w:rFonts w:ascii="FrankRuehl" w:hAnsi="FrankRuehl"/>
                <w:color w:val="000000" w:themeColor="text1"/>
                <w:sz w:val="28"/>
                <w:rtl/>
              </w:rPr>
              <w:t xml:space="preserve"> במסגרת פסק הדין החלקי (לקבוצת התובעים שעניינם נדון בעניין</w:t>
            </w:r>
            <w:r>
              <w:rPr>
                <w:color w:val="000000" w:themeColor="text1"/>
                <w:rtl/>
              </w:rPr>
              <w:t xml:space="preserve"> </w:t>
            </w:r>
            <w:r>
              <w:rPr>
                <w:rFonts w:ascii="Miriam" w:hAnsi="Miriam" w:cs="Miriam"/>
                <w:color w:val="000000" w:themeColor="text1"/>
                <w:sz w:val="24"/>
                <w:szCs w:val="24"/>
                <w:rtl/>
              </w:rPr>
              <w:t>פלונים</w:t>
            </w:r>
            <w:r>
              <w:rPr>
                <w:color w:val="000000" w:themeColor="text1"/>
                <w:rtl/>
              </w:rPr>
              <w:t xml:space="preserve">) </w:t>
            </w:r>
            <w:r>
              <w:rPr>
                <w:rFonts w:ascii="FrankRuehl" w:hAnsi="FrankRuehl"/>
                <w:color w:val="000000" w:themeColor="text1"/>
                <w:sz w:val="28"/>
                <w:rtl/>
              </w:rPr>
              <w:t xml:space="preserve">בגין אבדן החירות בלבד, בסך 422 ₪ (נכון למועד פסק הדין החלקי), הוא ראוי בנסיבות העניין גם לתובע שבפניי. לא נעלמה מעיניי הפסיקה לפיה אין לגזור את הפיצוי בהליך אזרחי בגין כליאת שווא מתקנות העונשין ואף ברור הוא כי במקרים שבהם תקופת המעצר גדולה בהרבה, או קצרה בהרבה (למשל מספר שבועות), לא יהיה זה מתאים לפסוק את סכום הפיצוי בהתאם לתקנות העונשין. עוד יודגש כי הגם שהחישוב שערך כב' השופט </w:t>
            </w:r>
            <w:r>
              <w:rPr>
                <w:rFonts w:ascii="Miriam" w:hAnsi="Miriam" w:cs="Miriam"/>
                <w:color w:val="000000" w:themeColor="text1"/>
                <w:sz w:val="24"/>
                <w:szCs w:val="24"/>
                <w:rtl/>
              </w:rPr>
              <w:t>דרורי</w:t>
            </w:r>
            <w:r>
              <w:rPr>
                <w:rFonts w:ascii="FrankRuehl" w:hAnsi="FrankRuehl"/>
                <w:color w:val="000000" w:themeColor="text1"/>
                <w:sz w:val="28"/>
                <w:rtl/>
              </w:rPr>
              <w:t xml:space="preserve"> לוקח בחשבון את גובה השכר הממוצע במשק, הלכה למעשה אין קשר בין נתון זה לבין אבדן החירות. במסגרת תקנות העונשין, המחוקק יצר פרמטר אחיד לפיצוי בגין אבדן החירות ולכן בחר בנתון סטטיסטי שאיננו לוקח בחשבון את הפסדי השכר של התובע הספציפי. אבדן החירות היא קשה מנשוא לעני ולעשיר באותה המידה ללא קשר לאבדן ההשתכרות בזמן הכליאה. לכן אין רלוונטיות לכך שכליאת השווא התבצעה בשטחי הרשות הפלסטינית שם השכר הממוצע במשק נמוך בהרבה מן השכר הממוצע בישראל. </w:t>
            </w:r>
            <w:r>
              <w:rPr>
                <w:rFonts w:ascii="FrankRuehl" w:hAnsi="FrankRuehl"/>
                <w:sz w:val="28"/>
                <w:rtl/>
              </w:rPr>
              <w:t>כפי שנפסק, הערכת הפיצוי בגין הנזק הלא ממוני</w:t>
            </w:r>
            <w:r>
              <w:rPr>
                <w:rFonts w:ascii="David" w:hAnsi="David"/>
                <w:sz w:val="26"/>
                <w:szCs w:val="26"/>
                <w:rtl/>
              </w:rPr>
              <w:t xml:space="preserve"> </w:t>
            </w:r>
            <w:r>
              <w:rPr>
                <w:rFonts w:ascii="Miriam" w:hAnsi="Miriam" w:cs="Miriam"/>
                <w:rtl/>
              </w:rPr>
              <w:t>"</w:t>
            </w:r>
            <w:r>
              <w:rPr>
                <w:rFonts w:ascii="Miriam" w:hAnsi="Miriam" w:cs="Miriam"/>
                <w:sz w:val="24"/>
                <w:szCs w:val="24"/>
                <w:rtl/>
              </w:rPr>
              <w:t>נעשית על-פי המבחנים הנהוגים ביחס לניזוק ישראלי</w:t>
            </w:r>
            <w:r>
              <w:rPr>
                <w:rFonts w:ascii="Miriam" w:hAnsi="Miriam" w:cs="Miriam"/>
                <w:sz w:val="24"/>
                <w:rtl/>
              </w:rPr>
              <w:t>"</w:t>
            </w:r>
            <w:r>
              <w:rPr>
                <w:szCs w:val="26"/>
                <w:rtl/>
              </w:rPr>
              <w:t xml:space="preserve"> </w:t>
            </w:r>
            <w:r>
              <w:rPr>
                <w:rFonts w:ascii="FrankRuehl" w:hAnsi="FrankRuehl"/>
                <w:sz w:val="28"/>
                <w:rtl/>
              </w:rPr>
              <w:t>כך שאומדן הפיצוי בגין נזק לא ממוני יחוש</w:t>
            </w:r>
            <w:r>
              <w:rPr>
                <w:sz w:val="28"/>
                <w:rtl/>
              </w:rPr>
              <w:t>ב</w:t>
            </w:r>
            <w:r>
              <w:rPr>
                <w:szCs w:val="26"/>
                <w:rtl/>
              </w:rPr>
              <w:t xml:space="preserve"> </w:t>
            </w:r>
            <w:r>
              <w:rPr>
                <w:rFonts w:ascii="Miriam" w:hAnsi="Miriam" w:cs="Miriam"/>
                <w:rtl/>
              </w:rPr>
              <w:t>"</w:t>
            </w:r>
            <w:r>
              <w:rPr>
                <w:rFonts w:ascii="Miriam" w:hAnsi="Miriam" w:cs="Miriam"/>
                <w:sz w:val="24"/>
                <w:szCs w:val="24"/>
                <w:rtl/>
              </w:rPr>
              <w:t>על-פי אמות המידה הישראליות</w:t>
            </w:r>
            <w:r>
              <w:rPr>
                <w:rFonts w:ascii="Miriam" w:hAnsi="Miriam" w:cs="Miriam"/>
                <w:sz w:val="24"/>
                <w:rtl/>
              </w:rPr>
              <w:t>"</w:t>
            </w:r>
            <w:r>
              <w:rPr>
                <w:szCs w:val="26"/>
                <w:rtl/>
              </w:rPr>
              <w:t xml:space="preserve"> </w:t>
            </w:r>
            <w:r>
              <w:rPr>
                <w:rFonts w:ascii="FrankRuehl" w:hAnsi="FrankRuehl"/>
                <w:sz w:val="28"/>
                <w:rtl/>
              </w:rPr>
              <w:t>המשקפות את</w:t>
            </w:r>
            <w:r>
              <w:rPr>
                <w:szCs w:val="26"/>
                <w:rtl/>
              </w:rPr>
              <w:t xml:space="preserve"> </w:t>
            </w:r>
            <w:r>
              <w:rPr>
                <w:rFonts w:ascii="Miriam" w:hAnsi="Miriam" w:cs="Miriam"/>
                <w:sz w:val="24"/>
                <w:rtl/>
              </w:rPr>
              <w:t>"</w:t>
            </w:r>
            <w:r>
              <w:rPr>
                <w:rFonts w:ascii="Miriam" w:hAnsi="Miriam" w:cs="Miriam"/>
                <w:sz w:val="24"/>
                <w:szCs w:val="24"/>
                <w:rtl/>
              </w:rPr>
              <w:t>ההערכה הישראלית בעניין זה"</w:t>
            </w:r>
            <w:r>
              <w:rPr>
                <w:szCs w:val="26"/>
                <w:rtl/>
              </w:rPr>
              <w:t xml:space="preserve">, </w:t>
            </w:r>
            <w:r>
              <w:rPr>
                <w:rFonts w:ascii="FrankRuehl" w:hAnsi="FrankRuehl"/>
                <w:sz w:val="28"/>
                <w:rtl/>
              </w:rPr>
              <w:t>ללא התחשבות במוצאו ואזרחותו של הנפגע</w:t>
            </w:r>
            <w:r>
              <w:rPr>
                <w:szCs w:val="26"/>
                <w:rtl/>
              </w:rPr>
              <w:t xml:space="preserve"> (</w:t>
            </w:r>
            <w:r>
              <w:rPr>
                <w:sz w:val="28"/>
                <w:rtl/>
              </w:rPr>
              <w:t>ע"א 702/87</w:t>
            </w:r>
            <w:r>
              <w:rPr>
                <w:szCs w:val="26"/>
                <w:rtl/>
              </w:rPr>
              <w:t xml:space="preserve"> </w:t>
            </w:r>
            <w:r>
              <w:rPr>
                <w:rFonts w:ascii="Miriam" w:hAnsi="Miriam" w:cs="Miriam"/>
                <w:sz w:val="24"/>
                <w:szCs w:val="24"/>
                <w:rtl/>
              </w:rPr>
              <w:t>מדינת ישראל נ' ג'ון כהן</w:t>
            </w:r>
            <w:r>
              <w:rPr>
                <w:szCs w:val="26"/>
                <w:rtl/>
              </w:rPr>
              <w:t xml:space="preserve">, </w:t>
            </w:r>
            <w:r>
              <w:rPr>
                <w:sz w:val="28"/>
                <w:rtl/>
              </w:rPr>
              <w:t>פ"ד מח(2) 705, 727 (1994)).</w:t>
            </w:r>
          </w:p>
          <w:p w:rsidR="00C632FF" w:rsidRDefault="00C632FF" w:rsidP="00C632FF">
            <w:pPr>
              <w:pStyle w:val="Ruller41"/>
              <w:rPr>
                <w:sz w:val="10"/>
                <w:szCs w:val="14"/>
                <w:rtl/>
              </w:rPr>
            </w:pPr>
          </w:p>
          <w:p w:rsidR="00C632FF" w:rsidRDefault="00C632FF" w:rsidP="00C632FF">
            <w:pPr>
              <w:pStyle w:val="Ruller4"/>
              <w:numPr>
                <w:ilvl w:val="0"/>
                <w:numId w:val="0"/>
              </w:numPr>
              <w:rPr>
                <w:color w:val="000000" w:themeColor="text1"/>
              </w:rPr>
            </w:pPr>
            <w:r>
              <w:rPr>
                <w:color w:val="000000" w:themeColor="text1"/>
                <w:rtl/>
              </w:rPr>
              <w:lastRenderedPageBreak/>
              <w:tab/>
              <w:t xml:space="preserve">נוכח האמור איני רואה לפסוק לתובע בגין אבדן החרות מעבר לסכום שנפסק במסגרת פסק הדין החלקי.  </w:t>
            </w:r>
          </w:p>
          <w:p w:rsidR="00C632FF" w:rsidRDefault="00C632FF" w:rsidP="00C632FF">
            <w:pPr>
              <w:pStyle w:val="Ruller41"/>
              <w:rPr>
                <w:rtl/>
              </w:rPr>
            </w:pPr>
          </w:p>
          <w:p w:rsidR="00C632FF" w:rsidRDefault="00C632FF" w:rsidP="00F82058">
            <w:pPr>
              <w:pStyle w:val="Ruller41"/>
              <w:rPr>
                <w:rtl/>
              </w:rPr>
            </w:pPr>
            <w:r>
              <w:rPr>
                <w:rtl/>
              </w:rPr>
              <w:t>2</w:t>
            </w:r>
            <w:r w:rsidR="00D95D6A">
              <w:rPr>
                <w:rFonts w:hint="cs"/>
                <w:rtl/>
              </w:rPr>
              <w:t>2</w:t>
            </w:r>
            <w:r>
              <w:rPr>
                <w:rtl/>
              </w:rPr>
              <w:t>.</w:t>
            </w:r>
            <w:r>
              <w:rPr>
                <w:rtl/>
              </w:rPr>
              <w:tab/>
              <w:t xml:space="preserve">כפי שנקבע בעניין </w:t>
            </w:r>
            <w:r>
              <w:rPr>
                <w:rFonts w:ascii="Miriam" w:hAnsi="Miriam" w:cs="Miriam"/>
                <w:szCs w:val="24"/>
                <w:rtl/>
              </w:rPr>
              <w:t>פלונים</w:t>
            </w:r>
            <w:r>
              <w:rPr>
                <w:rtl/>
              </w:rPr>
              <w:t xml:space="preserve">, הפיצוי שנפסק לתובעים, ואשר נגזר מתקנות העונשין, מפצה אך ורק על אבדן החירות. בענייננו אין המדובר רק בכליאת שווא שכאמור גורמת בעיקר לפגיעה בחירות, לבושה ולתחושת חוסר אונים. אלא מדובר בכליאת שווא שבמהלכה התובע חווה עינויים קשים והשפלות. והגם ששוכנעתי שהעינויים הקשים היו בעיקר בשלושת החודשים הראשונים של המעצר, הרי שהתובע חווה עינויים גם כאשר התגלה מידע חדש שגרם לרש"פ לחקור את התובע שוב, תוך כדי עינויים. עצם הימצאותו של אסיר חסר אונים, </w:t>
            </w:r>
            <w:r>
              <w:rPr>
                <w:u w:val="single"/>
                <w:rtl/>
              </w:rPr>
              <w:t>בפחד תמידי</w:t>
            </w:r>
            <w:r>
              <w:rPr>
                <w:rtl/>
              </w:rPr>
              <w:t xml:space="preserve"> מפני עינויים והשפלות, מהווה עינוי כשלעצמו והוא מצדיק לפסוק פיצוי בסכום גבוה מן הסכומים שנפסקים בגין אבדן החרות במעצרי שווא.  </w:t>
            </w:r>
          </w:p>
          <w:p w:rsidR="00C632FF" w:rsidRDefault="00C632FF" w:rsidP="00C632FF">
            <w:pPr>
              <w:pStyle w:val="Ruller41"/>
              <w:rPr>
                <w:rtl/>
              </w:rPr>
            </w:pPr>
          </w:p>
          <w:p w:rsidR="00C632FF" w:rsidRDefault="00C632FF" w:rsidP="00D95D6A">
            <w:pPr>
              <w:pStyle w:val="Ruller41"/>
              <w:rPr>
                <w:rtl/>
              </w:rPr>
            </w:pPr>
            <w:r>
              <w:rPr>
                <w:rtl/>
              </w:rPr>
              <w:t>2</w:t>
            </w:r>
            <w:r w:rsidR="00D95D6A">
              <w:rPr>
                <w:rFonts w:hint="cs"/>
                <w:rtl/>
              </w:rPr>
              <w:t>3</w:t>
            </w:r>
            <w:r>
              <w:rPr>
                <w:rtl/>
              </w:rPr>
              <w:t>.</w:t>
            </w:r>
            <w:r>
              <w:rPr>
                <w:rtl/>
              </w:rPr>
              <w:tab/>
              <w:t xml:space="preserve">עם זאת, נוכח העובדה שבענייננו, הנזק שנגרם לתובע כתוצאה ממעצר השווא ואבדן החירות שלוב באופן שאינו ניתן להפרדה בנזק שנגרם לתובע כתוצאה מן העינויים בתקופת הכליאה, ולא פחות מכך כתוצאה מן הפחד המתמיד שהוא היה נתון בו בזמן הכליאה, ובשים לב לכך שהנכות הצמיתה שנגרמה לתובע עקב המעשים הקשים של הרש"פ הם בתחום הנפשי, באופן שאינו מאפשר להבדיל בין הנזק שנגרם עקב אבדן החירות לבין יתר הנזקים, הפיצוי הנוסף מעבר לפיצוי בגין אבדן החירות, יינתן במסגרת הפיצוי בגין הנזק הלא ממוני. כפי שיפורט להלן.  </w:t>
            </w:r>
          </w:p>
          <w:p w:rsidR="00C632FF" w:rsidRDefault="00C632FF" w:rsidP="00C632FF">
            <w:pPr>
              <w:pStyle w:val="Ruller41"/>
              <w:rPr>
                <w:rtl/>
              </w:rPr>
            </w:pPr>
          </w:p>
          <w:p w:rsidR="00C632FF" w:rsidRDefault="00C632FF" w:rsidP="00C632FF">
            <w:pPr>
              <w:spacing w:line="360" w:lineRule="auto"/>
              <w:ind w:firstLine="44"/>
              <w:rPr>
                <w:rFonts w:ascii="FrankRuehl" w:hAnsi="FrankRuehl" w:cs="FrankRuehl"/>
                <w:b/>
                <w:bCs/>
                <w:sz w:val="28"/>
                <w:szCs w:val="28"/>
                <w:u w:val="single"/>
                <w:rtl/>
              </w:rPr>
            </w:pPr>
            <w:r>
              <w:rPr>
                <w:rFonts w:ascii="FrankRuehl" w:hAnsi="FrankRuehl" w:cs="FrankRuehl"/>
                <w:b/>
                <w:bCs/>
                <w:sz w:val="28"/>
                <w:szCs w:val="28"/>
                <w:u w:val="single"/>
                <w:rtl/>
              </w:rPr>
              <w:t>הנכות הרפואית</w:t>
            </w:r>
          </w:p>
          <w:p w:rsidR="00C632FF" w:rsidRDefault="00C632FF" w:rsidP="00C632FF">
            <w:pPr>
              <w:spacing w:line="360" w:lineRule="auto"/>
              <w:ind w:firstLine="44"/>
              <w:jc w:val="both"/>
              <w:rPr>
                <w:rFonts w:ascii="FrankRuehl" w:hAnsi="FrankRuehl" w:cs="FrankRuehl"/>
                <w:b/>
                <w:bCs/>
                <w:sz w:val="28"/>
                <w:szCs w:val="28"/>
                <w:u w:val="single"/>
                <w:rtl/>
              </w:rPr>
            </w:pPr>
          </w:p>
          <w:p w:rsidR="00C632FF" w:rsidRDefault="00C632FF" w:rsidP="00D95D6A">
            <w:pPr>
              <w:spacing w:line="360" w:lineRule="auto"/>
              <w:ind w:firstLine="44"/>
              <w:jc w:val="both"/>
              <w:rPr>
                <w:rFonts w:ascii="FrankRuehl" w:hAnsi="FrankRuehl" w:cs="FrankRuehl"/>
                <w:sz w:val="28"/>
                <w:szCs w:val="28"/>
                <w:rtl/>
              </w:rPr>
            </w:pPr>
            <w:r>
              <w:rPr>
                <w:rFonts w:ascii="FrankRuehl" w:hAnsi="FrankRuehl" w:cs="FrankRuehl"/>
                <w:sz w:val="28"/>
                <w:szCs w:val="28"/>
                <w:rtl/>
              </w:rPr>
              <w:t>2</w:t>
            </w:r>
            <w:r w:rsidR="00D95D6A">
              <w:rPr>
                <w:rFonts w:ascii="FrankRuehl" w:hAnsi="FrankRuehl" w:cs="FrankRuehl" w:hint="cs"/>
                <w:sz w:val="28"/>
                <w:szCs w:val="28"/>
                <w:rtl/>
              </w:rPr>
              <w:t>4</w:t>
            </w:r>
            <w:r>
              <w:rPr>
                <w:rFonts w:ascii="FrankRuehl" w:hAnsi="FrankRuehl" w:cs="FrankRuehl"/>
                <w:sz w:val="28"/>
                <w:szCs w:val="28"/>
                <w:rtl/>
              </w:rPr>
              <w:t>.</w:t>
            </w:r>
            <w:r>
              <w:rPr>
                <w:rFonts w:ascii="FrankRuehl" w:hAnsi="FrankRuehl" w:cs="FrankRuehl"/>
                <w:sz w:val="28"/>
                <w:szCs w:val="28"/>
                <w:rtl/>
              </w:rPr>
              <w:tab/>
              <w:t xml:space="preserve">כפי שצויין לעיל, לכל תובע הכלול בתביעות שנדונו בעניין </w:t>
            </w:r>
            <w:r>
              <w:rPr>
                <w:rFonts w:ascii="Miriam" w:hAnsi="Miriam" w:cs="Miriam"/>
                <w:rtl/>
              </w:rPr>
              <w:t>פלונים</w:t>
            </w:r>
            <w:r>
              <w:rPr>
                <w:rFonts w:ascii="FrankRuehl" w:hAnsi="FrankRuehl" w:cs="FrankRuehl"/>
                <w:sz w:val="28"/>
                <w:szCs w:val="28"/>
                <w:rtl/>
              </w:rPr>
              <w:t xml:space="preserve"> מונו מטעם בית המשפט שני מומחים. האחד בתחום הנפשי והשני בתחום האורתופדי. כך גם מונו לתובע שלפנינו. כמו כן מונה לתובע, מומחה מטעם בית המשפט בתחום הפה והלסת.</w:t>
            </w:r>
          </w:p>
          <w:p w:rsidR="00C632FF" w:rsidRDefault="00C632FF" w:rsidP="00C632FF">
            <w:pPr>
              <w:spacing w:line="360" w:lineRule="auto"/>
              <w:ind w:firstLine="44"/>
              <w:jc w:val="both"/>
              <w:rPr>
                <w:rFonts w:ascii="FrankRuehl" w:hAnsi="FrankRuehl" w:cs="FrankRuehl"/>
                <w:sz w:val="28"/>
                <w:szCs w:val="28"/>
                <w:rtl/>
              </w:rPr>
            </w:pPr>
          </w:p>
          <w:p w:rsidR="00C632FF" w:rsidRDefault="00C632FF" w:rsidP="00D95D6A">
            <w:pPr>
              <w:spacing w:line="360" w:lineRule="auto"/>
              <w:ind w:firstLine="44"/>
              <w:jc w:val="both"/>
              <w:rPr>
                <w:rFonts w:ascii="FrankRuehl" w:hAnsi="FrankRuehl" w:cs="FrankRuehl"/>
                <w:sz w:val="28"/>
                <w:szCs w:val="28"/>
                <w:rtl/>
              </w:rPr>
            </w:pPr>
            <w:r>
              <w:rPr>
                <w:rFonts w:ascii="FrankRuehl" w:hAnsi="FrankRuehl" w:cs="FrankRuehl"/>
                <w:sz w:val="28"/>
                <w:szCs w:val="28"/>
                <w:rtl/>
              </w:rPr>
              <w:t>2</w:t>
            </w:r>
            <w:r w:rsidR="00D95D6A">
              <w:rPr>
                <w:rFonts w:ascii="FrankRuehl" w:hAnsi="FrankRuehl" w:cs="FrankRuehl" w:hint="cs"/>
                <w:sz w:val="28"/>
                <w:szCs w:val="28"/>
                <w:rtl/>
              </w:rPr>
              <w:t>5</w:t>
            </w:r>
            <w:r>
              <w:rPr>
                <w:rFonts w:ascii="FrankRuehl" w:hAnsi="FrankRuehl" w:cs="FrankRuehl"/>
                <w:sz w:val="28"/>
                <w:szCs w:val="28"/>
                <w:rtl/>
              </w:rPr>
              <w:t>.</w:t>
            </w:r>
            <w:r>
              <w:rPr>
                <w:rFonts w:ascii="FrankRuehl" w:hAnsi="FrankRuehl" w:cs="FrankRuehl"/>
                <w:sz w:val="28"/>
                <w:szCs w:val="28"/>
                <w:rtl/>
              </w:rPr>
              <w:tab/>
              <w:t xml:space="preserve">ד"ר יעל סגל שמונתה מטעם בית המשפט בתחום הנפשי, בדקה את התובע ביום 21.1.2020. המומחית קבעה כי כתוצאה מן האלימות והעינויים שחווה התובע, הוא פיתח תסמיני הפרעה בתר </w:t>
            </w:r>
            <w:r>
              <w:rPr>
                <w:rFonts w:ascii="FrankRuehl" w:hAnsi="FrankRuehl" w:cs="FrankRuehl"/>
                <w:sz w:val="28"/>
                <w:szCs w:val="28"/>
                <w:rtl/>
              </w:rPr>
              <w:lastRenderedPageBreak/>
              <w:t xml:space="preserve">חבלתית שאף שאינם מלאים עצמתם גבוהה. כן פיתח דיכאון שנובע מפגיעה בערך העצמי לאור קשיי תפקוד ותעסוקה. המומחית קבעה לתובע נכות צמיתה בשיעור 25%. התובע קיבל טיפול נפשי תרופתי בעבר אך כעת אינו מטופל. לדעת המומחית התובע יכול להפיק תועלת מטיפול פסיכולוגי מותאם וכן ממעקב פסיכיאטרי אך כיוון שהשירותים אינם נגישים וכן עקב הזמן שחלף מהפגיעה המוחית, הנכות היא צמיתה. המומחית המליצה על מעקב פסיכיאטרי ושקילת צורך בטיפול תרופתי וכן טיפול רגשי מותאם לנפגעי חרדה בתר חבלתית.  </w:t>
            </w:r>
          </w:p>
          <w:p w:rsidR="00C632FF" w:rsidRDefault="00C632FF" w:rsidP="00C632FF">
            <w:pPr>
              <w:spacing w:line="360" w:lineRule="auto"/>
              <w:ind w:firstLine="44"/>
              <w:jc w:val="both"/>
              <w:rPr>
                <w:rFonts w:ascii="FrankRuehl" w:hAnsi="FrankRuehl" w:cs="FrankRuehl"/>
                <w:sz w:val="28"/>
                <w:szCs w:val="28"/>
                <w:rtl/>
              </w:rPr>
            </w:pPr>
          </w:p>
          <w:p w:rsidR="00C632FF" w:rsidRDefault="00C632FF" w:rsidP="00D95D6A">
            <w:pPr>
              <w:spacing w:line="360" w:lineRule="auto"/>
              <w:ind w:firstLine="44"/>
              <w:jc w:val="both"/>
              <w:rPr>
                <w:rFonts w:ascii="FrankRuehl" w:hAnsi="FrankRuehl" w:cs="FrankRuehl"/>
                <w:sz w:val="28"/>
                <w:szCs w:val="28"/>
                <w:rtl/>
              </w:rPr>
            </w:pPr>
            <w:r>
              <w:rPr>
                <w:rFonts w:ascii="FrankRuehl" w:hAnsi="FrankRuehl" w:cs="FrankRuehl"/>
                <w:sz w:val="28"/>
                <w:szCs w:val="28"/>
                <w:rtl/>
              </w:rPr>
              <w:t>2</w:t>
            </w:r>
            <w:r w:rsidR="00D95D6A">
              <w:rPr>
                <w:rFonts w:ascii="FrankRuehl" w:hAnsi="FrankRuehl" w:cs="FrankRuehl" w:hint="cs"/>
                <w:sz w:val="28"/>
                <w:szCs w:val="28"/>
                <w:rtl/>
              </w:rPr>
              <w:t>6</w:t>
            </w:r>
            <w:r>
              <w:rPr>
                <w:rFonts w:ascii="FrankRuehl" w:hAnsi="FrankRuehl" w:cs="FrankRuehl"/>
                <w:sz w:val="28"/>
                <w:szCs w:val="28"/>
                <w:rtl/>
              </w:rPr>
              <w:t>.</w:t>
            </w:r>
            <w:r>
              <w:rPr>
                <w:rFonts w:ascii="FrankRuehl" w:hAnsi="FrankRuehl" w:cs="FrankRuehl"/>
                <w:sz w:val="28"/>
                <w:szCs w:val="28"/>
                <w:rtl/>
              </w:rPr>
              <w:tab/>
              <w:t xml:space="preserve">פרופ' רמי מושיוב שמונה מטעם בית המשפט בתחום האורתופדיה בדק את התובע וקבע בחוות דעתו מיום 1.4.2020 שלתובע לא נגרמה נכות אורתופדית צמיתה בעקבות שהותו בכלא הרש"פ.   </w:t>
            </w:r>
          </w:p>
          <w:p w:rsidR="00C632FF" w:rsidRDefault="00C632FF" w:rsidP="00C632FF">
            <w:pPr>
              <w:tabs>
                <w:tab w:val="left" w:pos="1076"/>
              </w:tabs>
              <w:spacing w:line="360" w:lineRule="auto"/>
              <w:jc w:val="both"/>
              <w:rPr>
                <w:rFonts w:ascii="FrankRuehl" w:hAnsi="FrankRuehl" w:cs="FrankRuehl"/>
                <w:sz w:val="28"/>
                <w:szCs w:val="28"/>
                <w:rtl/>
              </w:rPr>
            </w:pPr>
          </w:p>
          <w:p w:rsidR="00C632FF" w:rsidRDefault="00C632FF" w:rsidP="00D95D6A">
            <w:pPr>
              <w:spacing w:line="360" w:lineRule="auto"/>
              <w:jc w:val="both"/>
              <w:rPr>
                <w:rFonts w:ascii="FrankRuehl" w:hAnsi="FrankRuehl" w:cs="FrankRuehl"/>
                <w:sz w:val="28"/>
                <w:szCs w:val="28"/>
                <w:rtl/>
              </w:rPr>
            </w:pPr>
            <w:r>
              <w:rPr>
                <w:rFonts w:ascii="FrankRuehl" w:hAnsi="FrankRuehl" w:cs="FrankRuehl"/>
                <w:sz w:val="28"/>
                <w:szCs w:val="28"/>
                <w:rtl/>
              </w:rPr>
              <w:t>2</w:t>
            </w:r>
            <w:r w:rsidR="00D95D6A">
              <w:rPr>
                <w:rFonts w:ascii="FrankRuehl" w:hAnsi="FrankRuehl" w:cs="FrankRuehl" w:hint="cs"/>
                <w:sz w:val="28"/>
                <w:szCs w:val="28"/>
                <w:rtl/>
              </w:rPr>
              <w:t>7</w:t>
            </w:r>
            <w:r>
              <w:rPr>
                <w:rFonts w:ascii="FrankRuehl" w:hAnsi="FrankRuehl" w:cs="FrankRuehl"/>
                <w:sz w:val="28"/>
                <w:szCs w:val="28"/>
                <w:rtl/>
              </w:rPr>
              <w:t>.</w:t>
            </w:r>
            <w:r>
              <w:rPr>
                <w:rFonts w:ascii="FrankRuehl" w:hAnsi="FrankRuehl" w:cs="FrankRuehl"/>
                <w:sz w:val="28"/>
                <w:szCs w:val="28"/>
                <w:rtl/>
              </w:rPr>
              <w:tab/>
              <w:t xml:space="preserve">ד"ר שלמה ברק שמונה מטעם בית המשפט בתחום הפה והלסת ציין בחוות דעתו כי לתובע חוסר שיניים ושורשים שאריתיים של מספר שיניים בשתי הלסתות. המומחה מציין כי לדברי התובע הוא ספג אגרופים ובעיטות בפניו ובעקבות כך נפגע בשיניו. לאחר שחרורו ממאסר הוא טופל על ידי רופא שיניים במזרח ירושלים ובוצעו 6 כתרים בלסת התחתונה ו-4 כתרים בלסת העליונה. המומחה מציין כי יש לשקם את הפה באמצעות 5 שתלים שיתמכו 5 מבנים ו - 8 כתרי חרסינה בלסת העליונה. ובאמצעות 3 שתלים שיתמכו ב- 3 מבנים ו- 4 כתרי חרסינה בלסת התחתונה. יש להחליף את השתילם והמבנים כל 15 שנים ואת הכתרים כל 10 שנים. כמו מכן קבע המומחה כי לתובע נכות רפואית בתחום הפה והלסת בשיעור 3%. </w:t>
            </w:r>
          </w:p>
          <w:p w:rsidR="00D95D6A" w:rsidRDefault="00D95D6A" w:rsidP="00D95D6A">
            <w:pPr>
              <w:spacing w:line="360" w:lineRule="auto"/>
              <w:jc w:val="both"/>
              <w:rPr>
                <w:rFonts w:ascii="FrankRuehl" w:hAnsi="FrankRuehl" w:cs="FrankRuehl"/>
                <w:sz w:val="28"/>
                <w:szCs w:val="28"/>
                <w:rtl/>
              </w:rPr>
            </w:pPr>
          </w:p>
          <w:p w:rsidR="00C632FF" w:rsidRDefault="00C632FF" w:rsidP="00D95D6A">
            <w:pPr>
              <w:spacing w:line="360" w:lineRule="auto"/>
              <w:jc w:val="both"/>
              <w:rPr>
                <w:rFonts w:ascii="FrankRuehl" w:hAnsi="FrankRuehl" w:cs="FrankRuehl"/>
                <w:sz w:val="28"/>
                <w:szCs w:val="28"/>
                <w:rtl/>
              </w:rPr>
            </w:pPr>
            <w:r>
              <w:rPr>
                <w:rFonts w:ascii="FrankRuehl" w:hAnsi="FrankRuehl" w:cs="FrankRuehl"/>
                <w:sz w:val="28"/>
                <w:szCs w:val="28"/>
                <w:rtl/>
              </w:rPr>
              <w:t xml:space="preserve"> </w:t>
            </w:r>
            <w:r w:rsidR="00D95D6A">
              <w:rPr>
                <w:rFonts w:ascii="FrankRuehl" w:hAnsi="FrankRuehl" w:cs="FrankRuehl" w:hint="cs"/>
                <w:sz w:val="28"/>
                <w:szCs w:val="28"/>
                <w:rtl/>
              </w:rPr>
              <w:t>28.</w:t>
            </w:r>
            <w:r>
              <w:rPr>
                <w:rFonts w:ascii="FrankRuehl" w:hAnsi="FrankRuehl" w:cs="FrankRuehl"/>
                <w:sz w:val="28"/>
                <w:szCs w:val="28"/>
                <w:rtl/>
              </w:rPr>
              <w:t xml:space="preserve">         הנתבעת הרחיבה רבות אודות מצבו הרפואי של התובע מלפני הכליאה, והפנתה לתיעוד רפואי כגון: תיעוד רפואי מיום  8.7.19997 אודות כאבים בכף רגל ימין; תיעוד מחודש פברואר 1997 אודות כאבים באשכים וניתוח במחיצת האף; תיעוד רפואי מיום 25.9.2000 אודות כאבים בידיים, כאב גב והזעת יתר; תיעוד רפואי מיום 31.12.2000 אודות שלשולים עם טיפות דם ועוד כיוצא בזה. איני סבורה שיש בתיעוד שהוגש כדי ללמד על כושר השתכרות נמוך מלפני התאונה עקב מצב רפואי.</w:t>
            </w:r>
          </w:p>
          <w:p w:rsidR="00C632FF" w:rsidRDefault="00C632FF" w:rsidP="00C632FF">
            <w:pPr>
              <w:spacing w:line="360" w:lineRule="auto"/>
              <w:jc w:val="both"/>
              <w:rPr>
                <w:rFonts w:ascii="FrankRuehl" w:hAnsi="FrankRuehl" w:cs="FrankRuehl"/>
                <w:sz w:val="28"/>
                <w:szCs w:val="28"/>
                <w:rtl/>
              </w:rPr>
            </w:pPr>
            <w:r>
              <w:rPr>
                <w:rFonts w:ascii="FrankRuehl" w:hAnsi="FrankRuehl" w:cs="FrankRuehl"/>
                <w:sz w:val="28"/>
                <w:szCs w:val="28"/>
                <w:rtl/>
              </w:rPr>
              <w:t xml:space="preserve"> מכל מקום הרש"פ לא טרחה לפנות בשאלות הבהרה למומחה על מנת לברר האם מצבו הרפואי מלפני הכליאה השפיע אף הוא על הנכות התפקודית שלו. נוכח האמור הנכות המשוקללת עומדת  על 27.25%. </w:t>
            </w:r>
          </w:p>
          <w:p w:rsidR="00C632FF" w:rsidRDefault="00C632FF" w:rsidP="00C632FF">
            <w:pPr>
              <w:spacing w:line="480" w:lineRule="auto"/>
              <w:jc w:val="both"/>
              <w:rPr>
                <w:rFonts w:ascii="FrankRuehl" w:hAnsi="FrankRuehl" w:cs="FrankRuehl"/>
                <w:b/>
                <w:bCs/>
                <w:sz w:val="16"/>
                <w:szCs w:val="16"/>
                <w:rtl/>
              </w:rPr>
            </w:pPr>
          </w:p>
          <w:p w:rsidR="00C632FF" w:rsidRDefault="00C632FF" w:rsidP="00C632FF">
            <w:pPr>
              <w:spacing w:line="360" w:lineRule="auto"/>
              <w:ind w:firstLine="44"/>
              <w:rPr>
                <w:rFonts w:ascii="FrankRuehl" w:hAnsi="FrankRuehl" w:cs="FrankRuehl"/>
                <w:b/>
                <w:bCs/>
                <w:sz w:val="28"/>
                <w:szCs w:val="28"/>
                <w:u w:val="single"/>
              </w:rPr>
            </w:pPr>
            <w:r>
              <w:rPr>
                <w:rFonts w:ascii="FrankRuehl" w:hAnsi="FrankRuehl" w:cs="FrankRuehl"/>
                <w:b/>
                <w:bCs/>
                <w:sz w:val="28"/>
                <w:szCs w:val="28"/>
                <w:u w:val="single"/>
                <w:rtl/>
              </w:rPr>
              <w:t>גריעה מכושר ההשתכרות והפסדי השכר</w:t>
            </w:r>
          </w:p>
          <w:p w:rsidR="00C632FF" w:rsidRDefault="00C632FF" w:rsidP="00C632FF">
            <w:pPr>
              <w:spacing w:line="360" w:lineRule="auto"/>
              <w:ind w:firstLine="44"/>
              <w:rPr>
                <w:rFonts w:ascii="FrankRuehl" w:hAnsi="FrankRuehl" w:cs="FrankRuehl"/>
                <w:b/>
                <w:bCs/>
                <w:sz w:val="28"/>
                <w:szCs w:val="28"/>
                <w:u w:val="single"/>
                <w:rtl/>
              </w:rPr>
            </w:pPr>
          </w:p>
          <w:p w:rsidR="00C632FF" w:rsidRDefault="00C632FF" w:rsidP="00C632FF">
            <w:pPr>
              <w:spacing w:line="360" w:lineRule="auto"/>
              <w:ind w:firstLine="44"/>
              <w:jc w:val="both"/>
              <w:rPr>
                <w:rFonts w:ascii="FrankRuehl" w:hAnsi="FrankRuehl" w:cs="FrankRuehl"/>
                <w:sz w:val="28"/>
                <w:szCs w:val="28"/>
                <w:rtl/>
              </w:rPr>
            </w:pPr>
            <w:r>
              <w:rPr>
                <w:rFonts w:ascii="FrankRuehl" w:hAnsi="FrankRuehl" w:cs="FrankRuehl"/>
                <w:sz w:val="28"/>
                <w:szCs w:val="28"/>
                <w:rtl/>
              </w:rPr>
              <w:t>29.</w:t>
            </w:r>
            <w:r>
              <w:rPr>
                <w:rFonts w:ascii="FrankRuehl" w:hAnsi="FrankRuehl" w:cs="FrankRuehl"/>
                <w:sz w:val="28"/>
                <w:szCs w:val="28"/>
                <w:rtl/>
              </w:rPr>
              <w:tab/>
              <w:t xml:space="preserve">התובע, יליד 26.1.1964, אזרח ישראלי מאז שנת 1995, נעצר על ידי הרש"פ ביום  18.4.2001 בעת שהיה בן 37. התובע שוחרר מן הכלא לאחר 13 חודשים, ביום 28.5.2002.   כיום התובע בן 58. בתצהיר התובע מיום 27.7.2017 (עמ' 17 לראיות התובע), התובע מתאר שלפני המאסר, בשנים 1985-1983 הוא למד הנדסאות בנין במכללת קלנדיה בירושלים ועבד שלוש שנים כהנדסאי בניין בעיריית חברון. לאחר מכן, בשנים 1996-1986 עבד כשוטר במשטרת יהודה ושומרון בנפת חברון ושכרו עמד על  1,700 ₪  לחודש (עמ' 22 שו' 22 לפרוטוקול הדיון מיום 7.6.2022). גם אשת התובע העידה כי הרוויח בסביבות 2,000 ₪  לחודש בעבודתו כשוטר בחברון. בשנים 2001-1996 (לאחר שהתובע קיבל תעודת זהות ישראלית ועבר לגור בירושלים) התובע היה שותף בחברת בנייה בשם רדואן, ולטענתו הרוויח בממוצע בין  15,000 - 7,000 ₪  לחודש. התובע מציין בתצהירו כי הוא נאלץ לסגור את חברת הבנייה, בשנת 2001, באינתיפדה השנייה, משום שלא אושר לו להכניס פועלים לישראל.  לאחר סגירת העסק ועד כליאתו בידי הרש"פ, התובע עבד בישראל באבטחה ובעבודות מזדמנות והרוויח שכר ממוצע בין 6,000-5000 ₪. </w:t>
            </w:r>
          </w:p>
          <w:p w:rsidR="00C632FF" w:rsidRDefault="00C632FF" w:rsidP="00C632FF">
            <w:pPr>
              <w:spacing w:line="360" w:lineRule="auto"/>
              <w:ind w:firstLine="44"/>
              <w:jc w:val="both"/>
              <w:rPr>
                <w:rFonts w:ascii="FrankRuehl" w:hAnsi="FrankRuehl" w:cs="FrankRuehl"/>
                <w:sz w:val="28"/>
                <w:szCs w:val="28"/>
                <w:rtl/>
              </w:rPr>
            </w:pPr>
          </w:p>
          <w:p w:rsidR="00C632FF" w:rsidRDefault="00C632FF" w:rsidP="00C632FF">
            <w:pPr>
              <w:spacing w:line="360" w:lineRule="auto"/>
              <w:ind w:firstLine="44"/>
              <w:jc w:val="both"/>
              <w:rPr>
                <w:rFonts w:ascii="FrankRuehl" w:hAnsi="FrankRuehl" w:cs="FrankRuehl"/>
                <w:sz w:val="28"/>
                <w:szCs w:val="28"/>
                <w:rtl/>
              </w:rPr>
            </w:pPr>
            <w:r>
              <w:rPr>
                <w:rFonts w:ascii="FrankRuehl" w:hAnsi="FrankRuehl" w:cs="FrankRuehl"/>
                <w:sz w:val="28"/>
                <w:szCs w:val="28"/>
                <w:rtl/>
              </w:rPr>
              <w:t>30.</w:t>
            </w:r>
            <w:r>
              <w:rPr>
                <w:rFonts w:ascii="FrankRuehl" w:hAnsi="FrankRuehl" w:cs="FrankRuehl"/>
                <w:sz w:val="28"/>
                <w:szCs w:val="28"/>
                <w:rtl/>
              </w:rPr>
              <w:tab/>
              <w:t xml:space="preserve">לא צורפו אסמכתאות שיש בהן כדי לבסס את טענות התובע בדבר השתכרותו בשנים שלפני המעצר. </w:t>
            </w:r>
          </w:p>
          <w:p w:rsidR="00C632FF" w:rsidRDefault="00C632FF" w:rsidP="00C632FF">
            <w:pPr>
              <w:spacing w:line="360" w:lineRule="auto"/>
              <w:ind w:firstLine="44"/>
              <w:jc w:val="both"/>
              <w:rPr>
                <w:rFonts w:ascii="FrankRuehl" w:hAnsi="FrankRuehl" w:cs="FrankRuehl"/>
                <w:sz w:val="28"/>
                <w:szCs w:val="28"/>
                <w:rtl/>
              </w:rPr>
            </w:pPr>
          </w:p>
          <w:p w:rsidR="00C632FF" w:rsidRDefault="00C632FF" w:rsidP="00C632FF">
            <w:pPr>
              <w:spacing w:line="360" w:lineRule="auto"/>
              <w:ind w:firstLine="43"/>
              <w:jc w:val="both"/>
              <w:rPr>
                <w:rFonts w:ascii="FrankRuehl" w:hAnsi="FrankRuehl" w:cs="FrankRuehl"/>
                <w:sz w:val="28"/>
                <w:szCs w:val="28"/>
                <w:rtl/>
              </w:rPr>
            </w:pPr>
            <w:r>
              <w:rPr>
                <w:rFonts w:ascii="FrankRuehl" w:hAnsi="FrankRuehl" w:cs="FrankRuehl"/>
                <w:sz w:val="28"/>
                <w:szCs w:val="28"/>
                <w:rtl/>
              </w:rPr>
              <w:t>31.</w:t>
            </w:r>
            <w:r>
              <w:rPr>
                <w:rFonts w:ascii="FrankRuehl" w:hAnsi="FrankRuehl" w:cs="FrankRuehl"/>
                <w:sz w:val="28"/>
                <w:szCs w:val="28"/>
                <w:rtl/>
              </w:rPr>
              <w:tab/>
              <w:t xml:space="preserve">מדו"חות רציפות ביטוח שהגישה הרש"פ עולה כי בין השנים 2001-1996 שכרו החודשי התובע היה זעום ביותר ולא חצה את רף ה - 4,000 ₪ לחודש. </w:t>
            </w:r>
          </w:p>
          <w:p w:rsidR="00C632FF" w:rsidRDefault="00C632FF" w:rsidP="00C632FF">
            <w:pPr>
              <w:spacing w:line="360" w:lineRule="auto"/>
              <w:ind w:firstLine="44"/>
              <w:jc w:val="both"/>
              <w:rPr>
                <w:rFonts w:ascii="FrankRuehl" w:hAnsi="FrankRuehl" w:cs="FrankRuehl"/>
                <w:sz w:val="28"/>
                <w:szCs w:val="28"/>
                <w:rtl/>
              </w:rPr>
            </w:pPr>
          </w:p>
          <w:p w:rsidR="00C632FF" w:rsidRDefault="00C632FF" w:rsidP="00C632FF">
            <w:pPr>
              <w:spacing w:line="360" w:lineRule="auto"/>
              <w:ind w:firstLine="44"/>
              <w:jc w:val="both"/>
              <w:rPr>
                <w:rFonts w:ascii="FrankRuehl" w:hAnsi="FrankRuehl" w:cs="FrankRuehl"/>
                <w:sz w:val="28"/>
                <w:szCs w:val="28"/>
                <w:rtl/>
              </w:rPr>
            </w:pPr>
            <w:r>
              <w:rPr>
                <w:rFonts w:ascii="FrankRuehl" w:hAnsi="FrankRuehl" w:cs="FrankRuehl"/>
                <w:sz w:val="28"/>
                <w:szCs w:val="28"/>
                <w:rtl/>
              </w:rPr>
              <w:t>32.</w:t>
            </w:r>
            <w:r>
              <w:rPr>
                <w:rFonts w:ascii="FrankRuehl" w:hAnsi="FrankRuehl" w:cs="FrankRuehl"/>
                <w:sz w:val="28"/>
                <w:szCs w:val="28"/>
                <w:rtl/>
              </w:rPr>
              <w:tab/>
              <w:t xml:space="preserve">אין חולק על כך שמאז השחרור מן הכלא של הרש"פ ועד היום התובע עובד בעבודות מזדמנות. בתצהירו מתאר התובע ששכרו בשנים שלאחר השחרור נע בין 5,000-3,000 ₪ לחודש, אך גם לכך לא צירף אסמכתאות.   </w:t>
            </w:r>
          </w:p>
          <w:p w:rsidR="00C632FF" w:rsidRDefault="00C632FF" w:rsidP="00C632FF">
            <w:pPr>
              <w:spacing w:line="360" w:lineRule="auto"/>
              <w:ind w:firstLine="44"/>
              <w:jc w:val="both"/>
              <w:rPr>
                <w:rFonts w:ascii="FrankRuehl" w:hAnsi="FrankRuehl" w:cs="FrankRuehl"/>
                <w:sz w:val="28"/>
                <w:szCs w:val="28"/>
                <w:rtl/>
              </w:rPr>
            </w:pPr>
          </w:p>
          <w:p w:rsidR="00C632FF" w:rsidRDefault="00C632FF" w:rsidP="00C632FF">
            <w:pPr>
              <w:spacing w:line="360" w:lineRule="auto"/>
              <w:ind w:firstLine="44"/>
              <w:jc w:val="both"/>
              <w:rPr>
                <w:rFonts w:ascii="FrankRuehl" w:hAnsi="FrankRuehl" w:cs="FrankRuehl"/>
                <w:sz w:val="28"/>
                <w:szCs w:val="28"/>
                <w:rtl/>
              </w:rPr>
            </w:pPr>
            <w:r>
              <w:rPr>
                <w:rFonts w:ascii="FrankRuehl" w:hAnsi="FrankRuehl" w:cs="FrankRuehl"/>
                <w:sz w:val="28"/>
                <w:szCs w:val="28"/>
                <w:rtl/>
              </w:rPr>
              <w:t>33.</w:t>
            </w:r>
            <w:r>
              <w:rPr>
                <w:rFonts w:ascii="FrankRuehl" w:hAnsi="FrankRuehl" w:cs="FrankRuehl"/>
                <w:sz w:val="28"/>
                <w:szCs w:val="28"/>
                <w:rtl/>
              </w:rPr>
              <w:tab/>
              <w:t xml:space="preserve">הרש"פ טוענת כי ההיסטוריה התעסוקתית של התובע מלמדת שאין כל הבדל בין מצבו התעסוקתי לפני הכליאה ובין מצבו התעסקותי לאחר השחרור. לטענתה לתובע לא היה רצף תעסוקתי </w:t>
            </w:r>
            <w:r>
              <w:rPr>
                <w:rFonts w:ascii="FrankRuehl" w:hAnsi="FrankRuehl" w:cs="FrankRuehl"/>
                <w:sz w:val="28"/>
                <w:szCs w:val="28"/>
                <w:rtl/>
              </w:rPr>
              <w:lastRenderedPageBreak/>
              <w:t>מעולם שכן עבד בעבודות מזדמנות הן לפני הכליאה והן לאחריה. איני רואה לקבל טענה זו. כפי שצויין לעיל, במהלך 10 השנים שבין 1996-1986 התובע עבד באופן רצוף במשטרת חברון והשתכר קרוב מאוד לשכר הממוצע במשק בשטחי הרש"פ. אמנם בחמש השנים שלאחר מכן הוא לא הצליח בעסק הבנייה שהקים ועבר לעבוד בעבודות מזדמנות ואולם  בכך כדי להעיד על כושר השתכרות נמוך. מדובר בשנים הראשונות שלאחר הגירתו של התובע לישראל, וידוע לכל כי השנים הראשונות של כל מהגר אינן קלות מבחינה תעסוקתית. מאידך לא ברור כלל שהתובע אכן היה מצליח להשתלב בעבודה בישראל ולחזור לקבל שכר קרוב לשכר הממוצע במשק כפי שקיבל בשטחי הרש"פ קודם עזיבתו. נוכח האמור אני רואה להעמיד את שכרו של התובע מיום מעצרו ועד 5 שנים לאחר מכן על שכר מינימום בשיעור 5,300 ₪,  לאחר 5 שנים, ומתוך הנחה שהיה משתלב באופן חלקי בהתאם ליכולותיו לפני ההגירה לישראל, על כ</w:t>
            </w:r>
            <w:r w:rsidR="00F82058">
              <w:rPr>
                <w:rFonts w:ascii="FrankRuehl" w:hAnsi="FrankRuehl" w:cs="FrankRuehl" w:hint="cs"/>
                <w:sz w:val="28"/>
                <w:szCs w:val="28"/>
                <w:rtl/>
              </w:rPr>
              <w:t xml:space="preserve"> </w:t>
            </w:r>
            <w:r>
              <w:rPr>
                <w:rFonts w:ascii="FrankRuehl" w:hAnsi="FrankRuehl" w:cs="FrankRuehl"/>
                <w:sz w:val="28"/>
                <w:szCs w:val="28"/>
                <w:rtl/>
              </w:rPr>
              <w:t xml:space="preserve">- 7,500 ₪.  </w:t>
            </w:r>
          </w:p>
          <w:p w:rsidR="00C632FF" w:rsidRDefault="00C632FF" w:rsidP="00C632FF">
            <w:pPr>
              <w:spacing w:line="360" w:lineRule="auto"/>
              <w:ind w:firstLine="44"/>
              <w:jc w:val="both"/>
              <w:rPr>
                <w:rFonts w:ascii="FrankRuehl" w:hAnsi="FrankRuehl" w:cs="FrankRuehl"/>
                <w:sz w:val="28"/>
                <w:szCs w:val="28"/>
                <w:rtl/>
              </w:rPr>
            </w:pPr>
          </w:p>
          <w:p w:rsidR="00C632FF" w:rsidRDefault="00C632FF" w:rsidP="00C632FF">
            <w:pPr>
              <w:spacing w:line="360" w:lineRule="auto"/>
              <w:ind w:firstLine="44"/>
              <w:jc w:val="both"/>
              <w:rPr>
                <w:rFonts w:ascii="FrankRuehl" w:hAnsi="FrankRuehl" w:cs="FrankRuehl"/>
                <w:b/>
                <w:bCs/>
                <w:sz w:val="28"/>
                <w:szCs w:val="28"/>
                <w:u w:val="single"/>
                <w:rtl/>
              </w:rPr>
            </w:pPr>
            <w:r>
              <w:rPr>
                <w:rFonts w:ascii="FrankRuehl" w:hAnsi="FrankRuehl" w:cs="FrankRuehl"/>
                <w:sz w:val="28"/>
                <w:szCs w:val="28"/>
                <w:rtl/>
              </w:rPr>
              <w:t>34.</w:t>
            </w:r>
            <w:r>
              <w:rPr>
                <w:rFonts w:ascii="FrankRuehl" w:hAnsi="FrankRuehl" w:cs="FrankRuehl"/>
                <w:sz w:val="28"/>
                <w:szCs w:val="28"/>
                <w:rtl/>
              </w:rPr>
              <w:tab/>
              <w:t xml:space="preserve">בשים לב לגובה הנכות הצמיתה ואופייה, ולכך שלמרות מצבו, התובע מצליח לעבוד בעבודות מזדמנות, ונוכח מצבו התעסוקתי הלא יציב גם לפני הכליאה והשפעת ההגירה על כושר השתכרותו,  אני סבורה כי יש להעמיד את שיעור הגריעה מכושר ההשתכרות על 15%.  </w:t>
            </w:r>
          </w:p>
          <w:p w:rsidR="00C632FF" w:rsidRDefault="00C632FF" w:rsidP="00C632FF">
            <w:pPr>
              <w:spacing w:line="360" w:lineRule="auto"/>
              <w:ind w:firstLine="44"/>
              <w:jc w:val="both"/>
              <w:rPr>
                <w:rFonts w:ascii="FrankRuehl" w:hAnsi="FrankRuehl" w:cs="FrankRuehl"/>
                <w:b/>
                <w:bCs/>
                <w:sz w:val="28"/>
                <w:szCs w:val="28"/>
                <w:u w:val="single"/>
                <w:rtl/>
              </w:rPr>
            </w:pPr>
          </w:p>
          <w:p w:rsidR="00C632FF" w:rsidRDefault="00C632FF" w:rsidP="00C632FF">
            <w:pPr>
              <w:spacing w:line="360" w:lineRule="auto"/>
              <w:ind w:firstLine="44"/>
              <w:jc w:val="both"/>
              <w:rPr>
                <w:rFonts w:ascii="FrankRuehl" w:hAnsi="FrankRuehl" w:cs="FrankRuehl"/>
                <w:sz w:val="28"/>
                <w:szCs w:val="28"/>
                <w:rtl/>
              </w:rPr>
            </w:pPr>
            <w:r>
              <w:rPr>
                <w:rFonts w:ascii="FrankRuehl" w:hAnsi="FrankRuehl" w:cs="FrankRuehl"/>
                <w:sz w:val="28"/>
                <w:szCs w:val="28"/>
                <w:rtl/>
              </w:rPr>
              <w:t>35.</w:t>
            </w:r>
            <w:r>
              <w:rPr>
                <w:rFonts w:ascii="FrankRuehl" w:hAnsi="FrankRuehl" w:cs="FrankRuehl"/>
                <w:sz w:val="28"/>
                <w:szCs w:val="28"/>
                <w:rtl/>
              </w:rPr>
              <w:tab/>
              <w:t>נוכח האמור אני פוסקת לתובע פיצוי על הפסדי שכר כדלקמן:</w:t>
            </w:r>
          </w:p>
          <w:p w:rsidR="00C632FF" w:rsidRDefault="00C632FF" w:rsidP="00C632FF">
            <w:pPr>
              <w:spacing w:line="360" w:lineRule="auto"/>
              <w:ind w:firstLine="44"/>
              <w:jc w:val="both"/>
              <w:rPr>
                <w:rFonts w:ascii="FrankRuehl" w:hAnsi="FrankRuehl" w:cs="FrankRuehl"/>
                <w:sz w:val="10"/>
                <w:szCs w:val="10"/>
                <w:rtl/>
              </w:rPr>
            </w:pPr>
          </w:p>
          <w:p w:rsidR="00C632FF" w:rsidRDefault="00C632FF" w:rsidP="00C632FF">
            <w:pPr>
              <w:spacing w:line="360" w:lineRule="auto"/>
              <w:jc w:val="both"/>
              <w:rPr>
                <w:rFonts w:ascii="FrankRuehl" w:hAnsi="FrankRuehl" w:cs="FrankRuehl"/>
                <w:sz w:val="28"/>
                <w:szCs w:val="28"/>
                <w:rtl/>
              </w:rPr>
            </w:pPr>
            <w:r>
              <w:rPr>
                <w:rFonts w:ascii="FrankRuehl" w:hAnsi="FrankRuehl" w:cs="FrankRuehl"/>
                <w:sz w:val="28"/>
                <w:szCs w:val="28"/>
                <w:rtl/>
              </w:rPr>
              <w:t xml:space="preserve"> בגין 13 חודשי השהות בכלא - בהתחשב בשכר מינימום ובתוספת הפסדי פנסיה - פיצוי בסך </w:t>
            </w:r>
            <w:r>
              <w:rPr>
                <w:rFonts w:ascii="FrankRuehl" w:hAnsi="FrankRuehl" w:cs="FrankRuehl"/>
                <w:b/>
                <w:bCs/>
                <w:sz w:val="28"/>
                <w:szCs w:val="28"/>
                <w:u w:val="single"/>
                <w:rtl/>
              </w:rPr>
              <w:t>78,000 (במעוגל) בתוספת ריבית מאמצע התקופה</w:t>
            </w:r>
            <w:r>
              <w:rPr>
                <w:rFonts w:ascii="FrankRuehl" w:hAnsi="FrankRuehl" w:cs="FrankRuehl"/>
                <w:sz w:val="28"/>
                <w:szCs w:val="28"/>
                <w:rtl/>
              </w:rPr>
              <w:t xml:space="preserve">. </w:t>
            </w:r>
          </w:p>
          <w:p w:rsidR="00C632FF" w:rsidRDefault="00C632FF" w:rsidP="00C632FF">
            <w:pPr>
              <w:tabs>
                <w:tab w:val="left" w:pos="1076"/>
              </w:tabs>
              <w:spacing w:line="360" w:lineRule="auto"/>
              <w:jc w:val="both"/>
              <w:rPr>
                <w:rFonts w:ascii="FrankRuehl" w:hAnsi="FrankRuehl" w:cs="FrankRuehl"/>
                <w:sz w:val="28"/>
                <w:szCs w:val="28"/>
                <w:rtl/>
              </w:rPr>
            </w:pPr>
            <w:r>
              <w:rPr>
                <w:rFonts w:ascii="FrankRuehl" w:hAnsi="FrankRuehl" w:cs="FrankRuehl"/>
                <w:sz w:val="28"/>
                <w:szCs w:val="28"/>
                <w:rtl/>
              </w:rPr>
              <w:t xml:space="preserve">בגין התקופה שמיום השחרור ועד 5 שנים מיום מעצרו (47 חודשים)  - בהתחשב בשיעור גריעה של  15%, ושכר בגובה 5,300 ₪ - פיצוי בסך </w:t>
            </w:r>
            <w:r>
              <w:rPr>
                <w:rFonts w:ascii="FrankRuehl" w:hAnsi="FrankRuehl" w:cs="FrankRuehl"/>
                <w:b/>
                <w:bCs/>
                <w:sz w:val="28"/>
                <w:szCs w:val="28"/>
                <w:u w:val="single"/>
                <w:rtl/>
              </w:rPr>
              <w:t>37,000  ₪</w:t>
            </w:r>
            <w:r>
              <w:rPr>
                <w:rFonts w:ascii="FrankRuehl" w:hAnsi="FrankRuehl" w:cs="FrankRuehl"/>
                <w:sz w:val="28"/>
                <w:szCs w:val="28"/>
                <w:u w:val="single"/>
                <w:rtl/>
              </w:rPr>
              <w:t xml:space="preserve"> </w:t>
            </w:r>
            <w:r>
              <w:rPr>
                <w:rFonts w:ascii="FrankRuehl" w:hAnsi="FrankRuehl" w:cs="FrankRuehl"/>
                <w:b/>
                <w:bCs/>
                <w:sz w:val="28"/>
                <w:szCs w:val="28"/>
                <w:u w:val="single"/>
                <w:rtl/>
              </w:rPr>
              <w:t xml:space="preserve"> (במעוגל) בתוספת ריבית מאמצע התקופה</w:t>
            </w:r>
            <w:r>
              <w:rPr>
                <w:rFonts w:ascii="FrankRuehl" w:hAnsi="FrankRuehl" w:cs="FrankRuehl"/>
                <w:sz w:val="28"/>
                <w:szCs w:val="28"/>
                <w:rtl/>
              </w:rPr>
              <w:t xml:space="preserve">. יוער כי אין לפצות בגין תקופה זו על הפסדי פנסיה. עוד יוער כי בתקופה זו שולמה לתובע הבטחת הכנסה מאת המוסד לביטוח לאומי והרש"פ טוענת שיש לנכות סכומים אלו מן הפיצוי המגיע בגין הפסדי שכר בעבר. אולם בשים לב לכך שהסכום ששולם בגין הבטחת הכנסה (2,400 ₪ לחודש) בתוספת שיעור הגריעה שנקבע לעיל (בסך 795 ₪ לחודש), אינו מגיע כדי בסיס השכר שנקבע לעיל בשיעור 5,300 ₪, אין לנכות את הסכומים ששולמו בגין הבטחת הכנסה.   </w:t>
            </w:r>
          </w:p>
          <w:p w:rsidR="00C632FF" w:rsidRDefault="00C632FF" w:rsidP="00C632FF">
            <w:pPr>
              <w:tabs>
                <w:tab w:val="left" w:pos="1076"/>
              </w:tabs>
              <w:spacing w:line="360" w:lineRule="auto"/>
              <w:jc w:val="both"/>
              <w:rPr>
                <w:rFonts w:ascii="FrankRuehl" w:hAnsi="FrankRuehl" w:cs="FrankRuehl"/>
                <w:b/>
                <w:bCs/>
                <w:sz w:val="28"/>
                <w:szCs w:val="28"/>
                <w:u w:val="single"/>
                <w:rtl/>
              </w:rPr>
            </w:pPr>
            <w:r>
              <w:rPr>
                <w:rFonts w:ascii="FrankRuehl" w:hAnsi="FrankRuehl" w:cs="FrankRuehl"/>
                <w:sz w:val="28"/>
                <w:szCs w:val="28"/>
                <w:rtl/>
              </w:rPr>
              <w:t xml:space="preserve">בגין התקופה שמתום התקופה שלעיל ועד היום  (213 חודשים) - בהתחשב בשיעור גריעה של 15%, שכר בגובה 7,500 ₪  והפסדי פנסיה לגבי כמחצית מן  התקופה  - </w:t>
            </w:r>
            <w:r>
              <w:rPr>
                <w:rFonts w:ascii="FrankRuehl" w:hAnsi="FrankRuehl" w:cs="FrankRuehl"/>
                <w:b/>
                <w:bCs/>
                <w:sz w:val="28"/>
                <w:szCs w:val="28"/>
                <w:u w:val="single"/>
                <w:rtl/>
              </w:rPr>
              <w:t xml:space="preserve">פיצוי בסך 255,000 ₪ (במעוגל) בתוספת ריבית מאמצע התקופה.  </w:t>
            </w:r>
          </w:p>
          <w:p w:rsidR="00C632FF" w:rsidRDefault="00C632FF" w:rsidP="00C632FF">
            <w:pPr>
              <w:tabs>
                <w:tab w:val="left" w:pos="1076"/>
              </w:tabs>
              <w:spacing w:line="360" w:lineRule="auto"/>
              <w:jc w:val="both"/>
              <w:rPr>
                <w:rFonts w:ascii="FrankRuehl" w:hAnsi="FrankRuehl" w:cs="FrankRuehl"/>
                <w:b/>
                <w:bCs/>
                <w:sz w:val="28"/>
                <w:szCs w:val="28"/>
                <w:u w:val="single"/>
                <w:rtl/>
              </w:rPr>
            </w:pPr>
            <w:r>
              <w:rPr>
                <w:rFonts w:ascii="FrankRuehl" w:hAnsi="FrankRuehl" w:cs="FrankRuehl"/>
                <w:sz w:val="28"/>
                <w:szCs w:val="28"/>
                <w:rtl/>
              </w:rPr>
              <w:lastRenderedPageBreak/>
              <w:t xml:space="preserve">בגין הפסדי שכר לעתיד - בהתחשב בשיעור גריעה של 15% ושכר בגובה  7,500 ₪, היוון בשיעור 94.5453 והפסדי פנסיה -  פיצוי בסך </w:t>
            </w:r>
            <w:r>
              <w:rPr>
                <w:rFonts w:ascii="FrankRuehl" w:hAnsi="FrankRuehl" w:cs="FrankRuehl"/>
                <w:b/>
                <w:bCs/>
                <w:sz w:val="28"/>
                <w:szCs w:val="28"/>
                <w:u w:val="single"/>
                <w:rtl/>
              </w:rPr>
              <w:t xml:space="preserve"> 120,000 ₪ נכון למועד פסק הדין. </w:t>
            </w:r>
          </w:p>
          <w:p w:rsidR="00C632FF" w:rsidRDefault="00C632FF" w:rsidP="00C632FF">
            <w:pPr>
              <w:spacing w:line="360" w:lineRule="auto"/>
              <w:rPr>
                <w:rFonts w:ascii="FrankRuehl" w:hAnsi="FrankRuehl" w:cs="FrankRuehl"/>
                <w:b/>
                <w:bCs/>
                <w:sz w:val="14"/>
                <w:szCs w:val="14"/>
                <w:u w:val="single"/>
                <w:rtl/>
              </w:rPr>
            </w:pPr>
          </w:p>
          <w:p w:rsidR="00D95D6A" w:rsidRPr="00D95D6A" w:rsidRDefault="00D95D6A" w:rsidP="00C632FF">
            <w:pPr>
              <w:spacing w:line="360" w:lineRule="auto"/>
              <w:rPr>
                <w:rFonts w:ascii="FrankRuehl" w:hAnsi="FrankRuehl" w:cs="FrankRuehl"/>
                <w:b/>
                <w:bCs/>
                <w:sz w:val="8"/>
                <w:szCs w:val="8"/>
                <w:u w:val="single"/>
                <w:rtl/>
              </w:rPr>
            </w:pPr>
          </w:p>
          <w:p w:rsidR="00C632FF" w:rsidRDefault="00C632FF" w:rsidP="00C632FF">
            <w:pPr>
              <w:spacing w:line="360" w:lineRule="auto"/>
              <w:rPr>
                <w:rFonts w:ascii="FrankRuehl" w:hAnsi="FrankRuehl" w:cs="FrankRuehl"/>
                <w:b/>
                <w:bCs/>
                <w:sz w:val="28"/>
                <w:szCs w:val="28"/>
                <w:u w:val="single"/>
                <w:rtl/>
              </w:rPr>
            </w:pPr>
            <w:r>
              <w:rPr>
                <w:rFonts w:ascii="FrankRuehl" w:hAnsi="FrankRuehl" w:cs="FrankRuehl"/>
                <w:b/>
                <w:bCs/>
                <w:sz w:val="28"/>
                <w:szCs w:val="28"/>
                <w:u w:val="single"/>
                <w:rtl/>
              </w:rPr>
              <w:t>הוצאות רפואיות</w:t>
            </w:r>
          </w:p>
          <w:p w:rsidR="00C632FF" w:rsidRDefault="00C632FF" w:rsidP="00C632FF">
            <w:pPr>
              <w:spacing w:line="360" w:lineRule="auto"/>
              <w:jc w:val="both"/>
              <w:rPr>
                <w:rFonts w:ascii="FrankRuehl" w:hAnsi="FrankRuehl" w:cs="FrankRuehl"/>
                <w:b/>
                <w:bCs/>
                <w:sz w:val="28"/>
                <w:szCs w:val="28"/>
                <w:u w:val="single"/>
                <w:rtl/>
              </w:rPr>
            </w:pPr>
          </w:p>
          <w:p w:rsidR="00C632FF" w:rsidRDefault="00C632FF" w:rsidP="00C632FF">
            <w:pPr>
              <w:spacing w:line="360" w:lineRule="auto"/>
              <w:jc w:val="both"/>
              <w:rPr>
                <w:rFonts w:ascii="Arial" w:hAnsi="Arial" w:cs="FrankRuehl"/>
                <w:sz w:val="28"/>
                <w:szCs w:val="28"/>
                <w:rtl/>
              </w:rPr>
            </w:pPr>
            <w:r>
              <w:rPr>
                <w:rFonts w:ascii="FrankRuehl" w:hAnsi="FrankRuehl" w:cs="FrankRuehl"/>
                <w:sz w:val="28"/>
                <w:szCs w:val="28"/>
                <w:rtl/>
              </w:rPr>
              <w:t>36.</w:t>
            </w:r>
            <w:r>
              <w:rPr>
                <w:rFonts w:ascii="FrankRuehl" w:hAnsi="FrankRuehl" w:cs="FrankRuehl"/>
                <w:sz w:val="28"/>
                <w:szCs w:val="28"/>
                <w:rtl/>
              </w:rPr>
              <w:tab/>
            </w:r>
            <w:r>
              <w:rPr>
                <w:rFonts w:ascii="Arial" w:hAnsi="Arial" w:cs="FrankRuehl"/>
                <w:sz w:val="28"/>
                <w:szCs w:val="28"/>
                <w:rtl/>
              </w:rPr>
              <w:t xml:space="preserve">התובע מבקש כיסוי הוצאות רפואיות בגין תרופות בסך 200 ש"ח לחודש ואולם לא הובאה כל ראיה לביסוס דרישה זו. מכל מקום התובע אזרח ישראלי והוא זכאי לשירותים מאת קופות החולים. לא נטען וממילא לא הוכח שאין לתובע כיסוי רפואי לגבי הוצאה מסויימת הקשורה במעשי הרש"פ, או שנדרשת השתתפות עצמית. לכן אני דוחה את התביעה לכיסוי עלות התרופות. אשר לטיפולי השיניים, התובע לא הציג תיעוד רפואי לגבי הוצאות העבר ואף לא קבלות, אולם הוא הראה את השיניים התותבות שבפיו. לכן ברור שניתנו לו טיפולי שיניים בעבר. כיוון שלא הוצגו קבלות והעדות של התובע לעניין זה לא הייתה קוהרנטית אני פוסקת לתובע  על דרך האומדן פיצוי </w:t>
            </w:r>
            <w:r>
              <w:rPr>
                <w:rFonts w:ascii="Arial" w:hAnsi="Arial" w:cs="FrankRuehl"/>
                <w:sz w:val="28"/>
                <w:szCs w:val="28"/>
                <w:u w:val="single"/>
                <w:rtl/>
              </w:rPr>
              <w:t xml:space="preserve">בסך 10,000 ₪ </w:t>
            </w:r>
            <w:r>
              <w:rPr>
                <w:rFonts w:ascii="Arial" w:hAnsi="Arial" w:cs="FrankRuehl"/>
                <w:sz w:val="28"/>
                <w:szCs w:val="28"/>
                <w:rtl/>
              </w:rPr>
              <w:t xml:space="preserve">(נכון למועד פסק הדין). </w:t>
            </w:r>
          </w:p>
          <w:p w:rsidR="00C632FF" w:rsidRDefault="00C632FF" w:rsidP="00C632FF">
            <w:pPr>
              <w:spacing w:line="360" w:lineRule="auto"/>
              <w:jc w:val="both"/>
              <w:rPr>
                <w:rFonts w:ascii="Arial" w:hAnsi="Arial" w:cs="FrankRuehl"/>
                <w:sz w:val="28"/>
                <w:szCs w:val="28"/>
                <w:rtl/>
              </w:rPr>
            </w:pPr>
          </w:p>
          <w:p w:rsidR="00C632FF" w:rsidRDefault="00C632FF" w:rsidP="00C632FF">
            <w:pPr>
              <w:spacing w:line="360" w:lineRule="auto"/>
              <w:ind w:firstLine="720"/>
              <w:jc w:val="both"/>
              <w:rPr>
                <w:rFonts w:ascii="Arial" w:hAnsi="Arial" w:cs="FrankRuehl"/>
                <w:sz w:val="28"/>
                <w:szCs w:val="28"/>
                <w:rtl/>
              </w:rPr>
            </w:pPr>
            <w:r>
              <w:rPr>
                <w:rFonts w:ascii="Arial" w:hAnsi="Arial" w:cs="FrankRuehl"/>
                <w:sz w:val="28"/>
                <w:szCs w:val="28"/>
                <w:rtl/>
              </w:rPr>
              <w:t>אשר להוצאות עבור טיפולי השיניים בעתיד, בהתאם לחוות הדעת של ד"ר שלמה ברק, התובע נזקק לשיקום ב - 12 שיניים. הרש"פ טוענת כי בהתאם לעדותו של התובע עצמו, נשברו לו רק 8 שניים ולכן יש לעדכן את שיעורי הנכות שקבע המומחה כמו גם את גובה ההוצאות, כך שיתייחסו רק ל-8 שיניים. אין לקבל טענה זו. התובע אמנם העיד "</w:t>
            </w:r>
            <w:r>
              <w:rPr>
                <w:rFonts w:ascii="Miriam" w:hAnsi="Miriam" w:cs="Miriam"/>
                <w:rtl/>
              </w:rPr>
              <w:t>נשברו לי 8 שיניים</w:t>
            </w:r>
            <w:r>
              <w:rPr>
                <w:rFonts w:ascii="Arial" w:hAnsi="Arial" w:cs="FrankRuehl"/>
                <w:sz w:val="28"/>
                <w:szCs w:val="28"/>
                <w:rtl/>
              </w:rPr>
              <w:t>" (עמ' 27, שו' 15 לפרוטוקול הדיון מיום 7.6.2022) אולם מיד לאחר מכן ציין "</w:t>
            </w:r>
            <w:r>
              <w:rPr>
                <w:rFonts w:ascii="Miriam" w:hAnsi="Miriam" w:cs="Miriam"/>
                <w:rtl/>
              </w:rPr>
              <w:t>אבל גם השיניים למטה נהרסו לי</w:t>
            </w:r>
            <w:r>
              <w:rPr>
                <w:rFonts w:ascii="Arial" w:hAnsi="Arial" w:cs="FrankRuehl"/>
                <w:sz w:val="28"/>
                <w:szCs w:val="28"/>
                <w:rtl/>
              </w:rPr>
              <w:t xml:space="preserve">" (שם, שם). הרש"פ אף לא פנתה למומחה בשאלת הבהרה לגבי סיבת הפגיעה בשיניים הנוספות.  </w:t>
            </w:r>
          </w:p>
          <w:p w:rsidR="00C632FF" w:rsidRDefault="00C632FF" w:rsidP="00C632FF">
            <w:pPr>
              <w:spacing w:line="360" w:lineRule="auto"/>
              <w:jc w:val="both"/>
              <w:rPr>
                <w:rFonts w:ascii="Arial" w:hAnsi="Arial" w:cs="FrankRuehl"/>
                <w:sz w:val="28"/>
                <w:szCs w:val="28"/>
                <w:rtl/>
              </w:rPr>
            </w:pPr>
          </w:p>
          <w:p w:rsidR="00C632FF" w:rsidRDefault="00C632FF" w:rsidP="00C632FF">
            <w:pPr>
              <w:spacing w:line="360" w:lineRule="auto"/>
              <w:ind w:firstLine="720"/>
              <w:jc w:val="both"/>
              <w:rPr>
                <w:rFonts w:ascii="Arial" w:hAnsi="Arial" w:cs="FrankRuehl"/>
                <w:sz w:val="28"/>
                <w:szCs w:val="28"/>
                <w:rtl/>
              </w:rPr>
            </w:pPr>
            <w:r>
              <w:rPr>
                <w:rFonts w:ascii="Arial" w:hAnsi="Arial" w:cs="FrankRuehl"/>
                <w:sz w:val="28"/>
                <w:szCs w:val="28"/>
                <w:rtl/>
              </w:rPr>
              <w:t xml:space="preserve">בהתאם לחוות הדעת, ובשים לב לתוחלת החיים הצפויה של התובע יש להניח כי בנוסף לטיפול שעליו לעשות כעת, הוא יידרש להחליף את הכתרים עוד פעמיים ואת השתלים והמבנים עוד פעם אחת. עלות הטיפול הראשון (כולל עקירות) היא 72,600 ₪. עלות הטיפול בהחלפת הכתרים היא 31,000 ₪.  עלות הטיפול בהחלפת השתלים היא 37,600 ₪ (היתרה עד לסך של 72,000 היא הוצאה חד פעמית עבור העקירות). </w:t>
            </w:r>
          </w:p>
          <w:p w:rsidR="00C632FF" w:rsidRDefault="00C632FF" w:rsidP="00C632FF">
            <w:pPr>
              <w:spacing w:line="360" w:lineRule="auto"/>
              <w:ind w:firstLine="720"/>
              <w:jc w:val="both"/>
              <w:rPr>
                <w:rFonts w:ascii="Arial" w:hAnsi="Arial" w:cs="FrankRuehl"/>
                <w:sz w:val="28"/>
                <w:szCs w:val="28"/>
                <w:rtl/>
              </w:rPr>
            </w:pPr>
          </w:p>
          <w:p w:rsidR="00C632FF" w:rsidRDefault="00C632FF" w:rsidP="00C632FF">
            <w:pPr>
              <w:spacing w:line="360" w:lineRule="auto"/>
              <w:ind w:firstLine="720"/>
              <w:jc w:val="both"/>
              <w:rPr>
                <w:rFonts w:ascii="Arial" w:hAnsi="Arial" w:cs="FrankRuehl"/>
                <w:sz w:val="28"/>
                <w:szCs w:val="28"/>
                <w:rtl/>
              </w:rPr>
            </w:pPr>
            <w:r>
              <w:rPr>
                <w:rFonts w:ascii="Arial" w:hAnsi="Arial" w:cs="FrankRuehl"/>
                <w:sz w:val="28"/>
                <w:szCs w:val="28"/>
                <w:rtl/>
              </w:rPr>
              <w:lastRenderedPageBreak/>
              <w:t xml:space="preserve">בתשובה לשאלת הבהרה ששלחה הרש"פ למומחה, ענה המומחה שכל אזרח זכאי לטיפולי שיניים בקופות החולים וכי עלות הטיפולים בקופת חולים נמוכה  בממוצע ב-  40% מן העלות שנקב בחוות הדעת. אף שהתובע היה מודע לתשובות אלו (מיום 16.1.2022) הוא התעלם מכך בסיכומיו ולא טען וממילא לא הוכיח שאין הוא זכאי לטיפולי שיניים או שהוא נזקק לטיפולים פרטיים דווקא (ראו ע"א 1355-11 </w:t>
            </w:r>
            <w:r>
              <w:rPr>
                <w:rFonts w:ascii="Miriam" w:hAnsi="Miriam" w:cs="Miriam"/>
                <w:rtl/>
              </w:rPr>
              <w:t>הסתדרות מדיצינית הדסה נ' קופת חולים מאוחדת</w:t>
            </w:r>
            <w:r>
              <w:rPr>
                <w:rFonts w:ascii="Arial" w:hAnsi="Arial" w:cs="FrankRuehl"/>
                <w:sz w:val="28"/>
                <w:szCs w:val="28"/>
                <w:rtl/>
              </w:rPr>
              <w:t xml:space="preserve">, פסקה 21(ז)(9.2.2015). בפסקה האמורה של בית המשפט העליון מתואר פסק הדין נשוא הערעור שלא זיכה בפיצוי עבור טיפולי שיניים הניתנים על ידי קופת חולים ובית המשפט העליון לא התערב ברכיב זה של הפיצוי). התובע אף לא טרח להציג את עלות טיפולי השיניים בקופת החולים שבה הוא חבר על מנת שניתן יהיה להתייחס להוצאות שייגרמו לו בפועל. לכן אין מנוס מהפחתה בשיעור 40% מן הסכומים הנקובים בחוות הדעת, בהתאם לתשובות המומחה לשאלות ההבהרה.  </w:t>
            </w:r>
          </w:p>
          <w:p w:rsidR="00C632FF" w:rsidRDefault="00C632FF" w:rsidP="00C632FF">
            <w:pPr>
              <w:spacing w:line="360" w:lineRule="auto"/>
              <w:ind w:firstLine="720"/>
              <w:jc w:val="both"/>
              <w:rPr>
                <w:rFonts w:ascii="Arial" w:hAnsi="Arial" w:cs="FrankRuehl"/>
                <w:sz w:val="28"/>
                <w:szCs w:val="28"/>
                <w:rtl/>
              </w:rPr>
            </w:pPr>
          </w:p>
          <w:p w:rsidR="00C632FF" w:rsidRDefault="00C632FF" w:rsidP="00C632FF">
            <w:pPr>
              <w:spacing w:line="360" w:lineRule="auto"/>
              <w:ind w:firstLine="720"/>
              <w:jc w:val="both"/>
              <w:rPr>
                <w:rFonts w:ascii="Arial" w:hAnsi="Arial" w:cs="FrankRuehl"/>
                <w:sz w:val="28"/>
                <w:szCs w:val="28"/>
                <w:rtl/>
              </w:rPr>
            </w:pPr>
            <w:r>
              <w:rPr>
                <w:rFonts w:ascii="Arial" w:hAnsi="Arial" w:cs="FrankRuehl"/>
                <w:sz w:val="28"/>
                <w:szCs w:val="28"/>
                <w:rtl/>
              </w:rPr>
              <w:t xml:space="preserve">כפועל יוצא התובע זכאי להוצאות עבור טיפולי שיניים בעתיד </w:t>
            </w:r>
            <w:r>
              <w:rPr>
                <w:rFonts w:ascii="Arial" w:hAnsi="Arial" w:cs="FrankRuehl"/>
                <w:b/>
                <w:bCs/>
                <w:sz w:val="28"/>
                <w:szCs w:val="28"/>
                <w:u w:val="single"/>
                <w:rtl/>
              </w:rPr>
              <w:t>בסך של 83,000 ₪ נכון ליום פסק הדין</w:t>
            </w:r>
            <w:r>
              <w:rPr>
                <w:rFonts w:ascii="Arial" w:hAnsi="Arial" w:cs="FrankRuehl"/>
                <w:sz w:val="28"/>
                <w:szCs w:val="28"/>
                <w:rtl/>
              </w:rPr>
              <w:t xml:space="preserve">(סכום זה כולל היוון כפול לגבי הסכומים העתידיים).     </w:t>
            </w:r>
          </w:p>
          <w:p w:rsidR="00C632FF" w:rsidRPr="00D95D6A" w:rsidRDefault="00C632FF" w:rsidP="00C632FF">
            <w:pPr>
              <w:pStyle w:val="ad"/>
              <w:spacing w:line="480" w:lineRule="auto"/>
              <w:ind w:left="0"/>
              <w:jc w:val="both"/>
              <w:rPr>
                <w:rFonts w:ascii="Arial" w:hAnsi="Arial" w:cs="FrankRuehl"/>
                <w:sz w:val="2"/>
                <w:szCs w:val="2"/>
                <w:rtl/>
              </w:rPr>
            </w:pPr>
          </w:p>
          <w:p w:rsidR="00D95D6A" w:rsidRPr="00F82058" w:rsidRDefault="00D95D6A" w:rsidP="00C632FF">
            <w:pPr>
              <w:tabs>
                <w:tab w:val="left" w:pos="1076"/>
              </w:tabs>
              <w:spacing w:line="360" w:lineRule="auto"/>
              <w:jc w:val="both"/>
              <w:rPr>
                <w:rFonts w:ascii="Arial" w:hAnsi="Arial" w:cs="FrankRuehl"/>
                <w:b/>
                <w:bCs/>
                <w:sz w:val="18"/>
                <w:szCs w:val="18"/>
                <w:u w:val="single"/>
                <w:rtl/>
              </w:rPr>
            </w:pPr>
          </w:p>
          <w:p w:rsidR="00C632FF" w:rsidRDefault="00C632FF" w:rsidP="00C632FF">
            <w:pPr>
              <w:tabs>
                <w:tab w:val="left" w:pos="1076"/>
              </w:tabs>
              <w:spacing w:line="360" w:lineRule="auto"/>
              <w:jc w:val="both"/>
              <w:rPr>
                <w:rFonts w:ascii="Arial" w:hAnsi="Arial" w:cs="FrankRuehl"/>
                <w:b/>
                <w:bCs/>
                <w:sz w:val="28"/>
                <w:szCs w:val="28"/>
                <w:u w:val="single"/>
                <w:rtl/>
              </w:rPr>
            </w:pPr>
            <w:r>
              <w:rPr>
                <w:rFonts w:ascii="Arial" w:hAnsi="Arial" w:cs="FrankRuehl"/>
                <w:b/>
                <w:bCs/>
                <w:sz w:val="28"/>
                <w:szCs w:val="28"/>
                <w:u w:val="single"/>
                <w:rtl/>
              </w:rPr>
              <w:t>הוצאות נסיעה</w:t>
            </w:r>
          </w:p>
          <w:p w:rsidR="00D95D6A" w:rsidRPr="00D95D6A" w:rsidRDefault="00D95D6A" w:rsidP="00C632FF">
            <w:pPr>
              <w:tabs>
                <w:tab w:val="left" w:pos="1076"/>
              </w:tabs>
              <w:spacing w:line="360" w:lineRule="auto"/>
              <w:jc w:val="both"/>
              <w:rPr>
                <w:rFonts w:ascii="Arial" w:hAnsi="Arial" w:cs="FrankRuehl"/>
                <w:b/>
                <w:bCs/>
                <w:sz w:val="16"/>
                <w:szCs w:val="16"/>
                <w:u w:val="single"/>
                <w:rtl/>
              </w:rPr>
            </w:pPr>
          </w:p>
          <w:p w:rsidR="00C632FF" w:rsidRDefault="00C632FF" w:rsidP="00C632FF">
            <w:pPr>
              <w:tabs>
                <w:tab w:val="left" w:pos="1076"/>
              </w:tabs>
              <w:spacing w:line="360" w:lineRule="auto"/>
              <w:jc w:val="both"/>
              <w:rPr>
                <w:rFonts w:ascii="Arial" w:hAnsi="Arial" w:cs="FrankRuehl"/>
                <w:b/>
                <w:bCs/>
                <w:sz w:val="6"/>
                <w:szCs w:val="6"/>
                <w:u w:val="single"/>
                <w:rtl/>
              </w:rPr>
            </w:pPr>
          </w:p>
          <w:p w:rsidR="00C632FF" w:rsidRDefault="00C632FF" w:rsidP="00C632FF">
            <w:pPr>
              <w:tabs>
                <w:tab w:val="left" w:pos="1076"/>
              </w:tabs>
              <w:spacing w:line="360" w:lineRule="auto"/>
              <w:jc w:val="both"/>
              <w:rPr>
                <w:rFonts w:ascii="FrankRuehl" w:hAnsi="FrankRuehl" w:cs="FrankRuehl"/>
                <w:sz w:val="28"/>
                <w:szCs w:val="28"/>
                <w:rtl/>
              </w:rPr>
            </w:pPr>
            <w:r>
              <w:rPr>
                <w:rFonts w:ascii="Arial" w:hAnsi="Arial" w:cs="FrankRuehl"/>
                <w:sz w:val="28"/>
                <w:szCs w:val="28"/>
                <w:rtl/>
              </w:rPr>
              <w:t>37.</w:t>
            </w:r>
            <w:r>
              <w:rPr>
                <w:rFonts w:ascii="Arial" w:hAnsi="Arial" w:cs="FrankRuehl"/>
                <w:sz w:val="28"/>
                <w:szCs w:val="28"/>
                <w:rtl/>
              </w:rPr>
              <w:tab/>
            </w:r>
            <w:r>
              <w:rPr>
                <w:rFonts w:ascii="FrankRuehl" w:hAnsi="FrankRuehl" w:cs="FrankRuehl"/>
                <w:sz w:val="28"/>
                <w:szCs w:val="28"/>
                <w:rtl/>
              </w:rPr>
              <w:t>הנכות שנגרמה לתובע כתוצאה ממעשי הרש"פ אינה מגבילה את ניידותו ולכן אני דוחה את תביעתו לפיצוי בגין הוצאות נסיעה.</w:t>
            </w:r>
          </w:p>
          <w:p w:rsidR="00F82058" w:rsidRPr="00F82058" w:rsidRDefault="00F82058" w:rsidP="00C632FF">
            <w:pPr>
              <w:tabs>
                <w:tab w:val="left" w:pos="1076"/>
              </w:tabs>
              <w:spacing w:line="360" w:lineRule="auto"/>
              <w:jc w:val="both"/>
              <w:rPr>
                <w:rFonts w:ascii="FrankRuehl" w:hAnsi="FrankRuehl" w:cs="FrankRuehl"/>
                <w:sz w:val="12"/>
                <w:szCs w:val="12"/>
                <w:rtl/>
              </w:rPr>
            </w:pPr>
          </w:p>
          <w:p w:rsidR="00C632FF" w:rsidRDefault="00C632FF" w:rsidP="00C632FF">
            <w:pPr>
              <w:tabs>
                <w:tab w:val="left" w:pos="1076"/>
              </w:tabs>
              <w:spacing w:line="360" w:lineRule="auto"/>
              <w:jc w:val="both"/>
              <w:rPr>
                <w:rFonts w:ascii="FrankRuehl" w:hAnsi="FrankRuehl" w:cs="FrankRuehl"/>
                <w:sz w:val="10"/>
                <w:szCs w:val="10"/>
                <w:rtl/>
              </w:rPr>
            </w:pPr>
          </w:p>
          <w:p w:rsidR="00C632FF" w:rsidRDefault="00C632FF" w:rsidP="00C632FF">
            <w:pPr>
              <w:tabs>
                <w:tab w:val="left" w:pos="1076"/>
              </w:tabs>
              <w:spacing w:line="360" w:lineRule="auto"/>
              <w:jc w:val="both"/>
              <w:rPr>
                <w:rFonts w:ascii="FrankRuehl" w:hAnsi="FrankRuehl" w:cs="FrankRuehl"/>
                <w:b/>
                <w:bCs/>
                <w:sz w:val="28"/>
                <w:szCs w:val="28"/>
                <w:u w:val="single"/>
                <w:rtl/>
              </w:rPr>
            </w:pPr>
            <w:r>
              <w:rPr>
                <w:rFonts w:ascii="FrankRuehl" w:hAnsi="FrankRuehl" w:cs="FrankRuehl"/>
                <w:b/>
                <w:bCs/>
                <w:sz w:val="28"/>
                <w:szCs w:val="28"/>
                <w:u w:val="single"/>
                <w:rtl/>
              </w:rPr>
              <w:t xml:space="preserve">הוצאות שכירות </w:t>
            </w:r>
          </w:p>
          <w:p w:rsidR="00F82058" w:rsidRPr="00F82058" w:rsidRDefault="00F82058" w:rsidP="00C632FF">
            <w:pPr>
              <w:tabs>
                <w:tab w:val="left" w:pos="1076"/>
              </w:tabs>
              <w:spacing w:line="360" w:lineRule="auto"/>
              <w:jc w:val="both"/>
              <w:rPr>
                <w:rFonts w:ascii="FrankRuehl" w:hAnsi="FrankRuehl" w:cs="FrankRuehl"/>
                <w:b/>
                <w:bCs/>
                <w:sz w:val="18"/>
                <w:szCs w:val="18"/>
                <w:u w:val="single"/>
                <w:rtl/>
              </w:rPr>
            </w:pPr>
          </w:p>
          <w:p w:rsidR="00C632FF" w:rsidRDefault="00C632FF" w:rsidP="00C632FF">
            <w:pPr>
              <w:tabs>
                <w:tab w:val="left" w:pos="1076"/>
              </w:tabs>
              <w:spacing w:line="360" w:lineRule="auto"/>
              <w:jc w:val="both"/>
              <w:rPr>
                <w:rFonts w:ascii="FrankRuehl" w:hAnsi="FrankRuehl" w:cs="FrankRuehl"/>
                <w:sz w:val="12"/>
                <w:szCs w:val="12"/>
                <w:rtl/>
              </w:rPr>
            </w:pPr>
          </w:p>
          <w:p w:rsidR="00C632FF" w:rsidRDefault="00C632FF" w:rsidP="00C632FF">
            <w:pPr>
              <w:spacing w:line="360" w:lineRule="auto"/>
              <w:jc w:val="both"/>
              <w:rPr>
                <w:rFonts w:ascii="FrankRuehl" w:hAnsi="FrankRuehl" w:cs="FrankRuehl"/>
                <w:sz w:val="28"/>
                <w:szCs w:val="28"/>
                <w:rtl/>
              </w:rPr>
            </w:pPr>
            <w:r>
              <w:rPr>
                <w:rFonts w:ascii="FrankRuehl" w:hAnsi="FrankRuehl" w:cs="FrankRuehl"/>
                <w:sz w:val="28"/>
                <w:szCs w:val="28"/>
                <w:rtl/>
              </w:rPr>
              <w:t>38.</w:t>
            </w:r>
            <w:r>
              <w:rPr>
                <w:rFonts w:ascii="FrankRuehl" w:hAnsi="FrankRuehl" w:cs="FrankRuehl"/>
                <w:sz w:val="28"/>
                <w:szCs w:val="28"/>
                <w:rtl/>
              </w:rPr>
              <w:tab/>
              <w:t xml:space="preserve">התובע טוען שעקב מעשי הרש"פ, שלא מניחה לו לנפשו, הוא נאלץ לשכור דירה בישראל ולכן על הרש"פ לשלם לו את דמי השכירות לעבר ולעתיד בסך של 998,466 ₪. התובע העיד שהוא עזב את שטחי הרשות הפלסטינית ועבר לגור בישראל בשנת 1997 (עמ' 21 שו' 32-29 לפרוטוקול הדיון מיום 7.6.2022), כלומר שנים רבות לפני האירועים נשוא התביעה ודי בכך כדי לדחות את תביעתו בעניין זה.  </w:t>
            </w:r>
          </w:p>
          <w:p w:rsidR="00C632FF" w:rsidRDefault="00C632FF" w:rsidP="00C632FF">
            <w:pPr>
              <w:tabs>
                <w:tab w:val="left" w:pos="1076"/>
              </w:tabs>
              <w:spacing w:line="360" w:lineRule="auto"/>
              <w:jc w:val="both"/>
              <w:rPr>
                <w:rFonts w:ascii="FrankRuehl" w:hAnsi="FrankRuehl" w:cs="FrankRuehl"/>
                <w:b/>
                <w:bCs/>
                <w:sz w:val="12"/>
                <w:szCs w:val="12"/>
                <w:u w:val="single"/>
                <w:rtl/>
              </w:rPr>
            </w:pPr>
          </w:p>
          <w:p w:rsidR="00F82058" w:rsidRDefault="00F82058" w:rsidP="00C632FF">
            <w:pPr>
              <w:tabs>
                <w:tab w:val="left" w:pos="1076"/>
              </w:tabs>
              <w:spacing w:line="360" w:lineRule="auto"/>
              <w:jc w:val="both"/>
              <w:rPr>
                <w:rFonts w:ascii="FrankRuehl" w:hAnsi="FrankRuehl" w:cs="FrankRuehl"/>
                <w:b/>
                <w:bCs/>
                <w:sz w:val="12"/>
                <w:szCs w:val="12"/>
                <w:u w:val="single"/>
                <w:rtl/>
              </w:rPr>
            </w:pPr>
          </w:p>
          <w:p w:rsidR="00F82058" w:rsidRDefault="00F82058" w:rsidP="00C632FF">
            <w:pPr>
              <w:tabs>
                <w:tab w:val="left" w:pos="1076"/>
              </w:tabs>
              <w:spacing w:line="360" w:lineRule="auto"/>
              <w:jc w:val="both"/>
              <w:rPr>
                <w:rFonts w:ascii="FrankRuehl" w:hAnsi="FrankRuehl" w:cs="FrankRuehl"/>
                <w:b/>
                <w:bCs/>
                <w:sz w:val="12"/>
                <w:szCs w:val="12"/>
                <w:u w:val="single"/>
                <w:rtl/>
              </w:rPr>
            </w:pPr>
          </w:p>
          <w:p w:rsidR="00F82058" w:rsidRDefault="00F82058" w:rsidP="00C632FF">
            <w:pPr>
              <w:tabs>
                <w:tab w:val="left" w:pos="1076"/>
              </w:tabs>
              <w:spacing w:line="360" w:lineRule="auto"/>
              <w:jc w:val="both"/>
              <w:rPr>
                <w:rFonts w:ascii="FrankRuehl" w:hAnsi="FrankRuehl" w:cs="FrankRuehl"/>
                <w:b/>
                <w:bCs/>
                <w:sz w:val="12"/>
                <w:szCs w:val="12"/>
                <w:u w:val="single"/>
                <w:rtl/>
              </w:rPr>
            </w:pPr>
          </w:p>
          <w:p w:rsidR="00F82058" w:rsidRDefault="00F82058" w:rsidP="00C632FF">
            <w:pPr>
              <w:tabs>
                <w:tab w:val="left" w:pos="1076"/>
              </w:tabs>
              <w:spacing w:line="360" w:lineRule="auto"/>
              <w:jc w:val="both"/>
              <w:rPr>
                <w:rFonts w:ascii="FrankRuehl" w:hAnsi="FrankRuehl" w:cs="FrankRuehl"/>
                <w:b/>
                <w:bCs/>
                <w:sz w:val="12"/>
                <w:szCs w:val="12"/>
                <w:u w:val="single"/>
                <w:rtl/>
              </w:rPr>
            </w:pPr>
          </w:p>
          <w:p w:rsidR="00C632FF" w:rsidRDefault="00C632FF" w:rsidP="00C632FF">
            <w:pPr>
              <w:tabs>
                <w:tab w:val="left" w:pos="1076"/>
              </w:tabs>
              <w:spacing w:line="360" w:lineRule="auto"/>
              <w:jc w:val="both"/>
              <w:rPr>
                <w:rFonts w:ascii="FrankRuehl" w:hAnsi="FrankRuehl" w:cs="FrankRuehl"/>
                <w:b/>
                <w:bCs/>
                <w:sz w:val="28"/>
                <w:szCs w:val="28"/>
                <w:u w:val="single"/>
                <w:rtl/>
              </w:rPr>
            </w:pPr>
            <w:r>
              <w:rPr>
                <w:rFonts w:ascii="FrankRuehl" w:hAnsi="FrankRuehl" w:cs="FrankRuehl"/>
                <w:b/>
                <w:bCs/>
                <w:sz w:val="28"/>
                <w:szCs w:val="28"/>
                <w:u w:val="single"/>
                <w:rtl/>
              </w:rPr>
              <w:lastRenderedPageBreak/>
              <w:t>נזק לא ממוני</w:t>
            </w:r>
          </w:p>
          <w:p w:rsidR="00F82058" w:rsidRDefault="00F82058" w:rsidP="00C632FF">
            <w:pPr>
              <w:tabs>
                <w:tab w:val="left" w:pos="1076"/>
              </w:tabs>
              <w:spacing w:line="360" w:lineRule="auto"/>
              <w:jc w:val="both"/>
              <w:rPr>
                <w:rFonts w:ascii="FrankRuehl" w:hAnsi="FrankRuehl" w:cs="FrankRuehl"/>
                <w:b/>
                <w:bCs/>
                <w:sz w:val="28"/>
                <w:szCs w:val="28"/>
                <w:u w:val="single"/>
                <w:rtl/>
              </w:rPr>
            </w:pPr>
          </w:p>
          <w:p w:rsidR="00C632FF" w:rsidRDefault="00C632FF" w:rsidP="00C632FF">
            <w:pPr>
              <w:tabs>
                <w:tab w:val="left" w:pos="893"/>
              </w:tabs>
              <w:spacing w:line="360" w:lineRule="auto"/>
              <w:jc w:val="both"/>
              <w:rPr>
                <w:rFonts w:ascii="FrankRuehl" w:hAnsi="FrankRuehl" w:cs="FrankRuehl"/>
                <w:b/>
                <w:bCs/>
                <w:sz w:val="28"/>
                <w:szCs w:val="28"/>
                <w:rtl/>
              </w:rPr>
            </w:pPr>
            <w:r>
              <w:rPr>
                <w:rFonts w:ascii="FrankRuehl" w:hAnsi="FrankRuehl" w:cs="FrankRuehl"/>
                <w:sz w:val="28"/>
                <w:szCs w:val="28"/>
                <w:rtl/>
              </w:rPr>
              <w:t>39.</w:t>
            </w:r>
            <w:r>
              <w:rPr>
                <w:rFonts w:ascii="FrankRuehl" w:hAnsi="FrankRuehl" w:cs="FrankRuehl"/>
                <w:sz w:val="28"/>
                <w:szCs w:val="28"/>
                <w:rtl/>
              </w:rPr>
              <w:tab/>
              <w:t xml:space="preserve">בשים לב למהות הפגיעה וגובה הנכות הרפואית; לעינויים הקשים שחווה התובע בתקופת הכליאה כמו גם לפחד המתמיד שהתובע היה שרוי בו במשך 13 חודשים; לכאב והסבל הכרוכים באבדן החרות; לפיצוי הכולל שפסק כב' השופט </w:t>
            </w:r>
            <w:r>
              <w:rPr>
                <w:rFonts w:ascii="Miriam" w:hAnsi="Miriam" w:cs="Miriam"/>
                <w:rtl/>
              </w:rPr>
              <w:t>דרורי</w:t>
            </w:r>
            <w:r>
              <w:rPr>
                <w:rFonts w:ascii="FrankRuehl" w:hAnsi="FrankRuehl" w:cs="FrankRuehl"/>
                <w:sz w:val="28"/>
                <w:szCs w:val="28"/>
                <w:rtl/>
              </w:rPr>
              <w:t xml:space="preserve"> לתובע בגין אבדן החרות במסגרת פסק הדין החלקי; לעובדה שפיצוי מלא עבור אבדן ההשתכרות בעת הכליאה, כולל למעשה גם פיצוי בגין נזק לא ממוני (אחרת היה מקום לקזז את עלויות המחיה "שנחסכו"), ומתוך הבנה שבסופו של יום, הנזק הלא ממוני בגין אבדן החירות והעינויים, שלובים זה בזה, אני מעריכה את הפיצוי המגיע לתובע בגין הנזק הלא ממוני עקב כליאת השווא והעינויים (בנוסף לפיצוי שנפסק  בגין אבדן החירות),  בסך</w:t>
            </w:r>
            <w:r>
              <w:rPr>
                <w:rFonts w:ascii="FrankRuehl" w:hAnsi="FrankRuehl" w:cs="FrankRuehl"/>
                <w:b/>
                <w:bCs/>
                <w:sz w:val="28"/>
                <w:szCs w:val="28"/>
                <w:rtl/>
              </w:rPr>
              <w:t xml:space="preserve">  </w:t>
            </w:r>
            <w:r>
              <w:rPr>
                <w:rFonts w:ascii="FrankRuehl" w:hAnsi="FrankRuehl" w:cs="FrankRuehl"/>
                <w:b/>
                <w:bCs/>
                <w:sz w:val="28"/>
                <w:szCs w:val="28"/>
                <w:u w:val="single"/>
                <w:rtl/>
              </w:rPr>
              <w:t xml:space="preserve"> 400,000 ₪ נכון ליום פסק הדין.</w:t>
            </w:r>
            <w:r>
              <w:rPr>
                <w:rFonts w:ascii="FrankRuehl" w:hAnsi="FrankRuehl" w:cs="FrankRuehl"/>
                <w:sz w:val="28"/>
                <w:szCs w:val="28"/>
                <w:rtl/>
              </w:rPr>
              <w:t xml:space="preserve"> בקביעת סכום זה לקחתי בחשבון שאלמלא היה מדובר בעוולות נמשכות, הרי ששיעור הנכות הצמיתה שנקבעה לתובע והצמדת הסכום מיום האירוע, היו מזכים את התובע בפיצוי בגין הנזק הלא ממוני בסך של כ - 200,000 ₪. סכום זה הוכפל פי 2 בשים לב לכך שהעוולות נמשכו 13 חודשים (וראו פסק הדין בעניין </w:t>
            </w:r>
            <w:r>
              <w:rPr>
                <w:rFonts w:ascii="Miriam" w:hAnsi="Miriam" w:cs="Miriam"/>
                <w:rtl/>
              </w:rPr>
              <w:t>פלוני 1</w:t>
            </w:r>
            <w:r>
              <w:rPr>
                <w:rFonts w:ascii="FrankRuehl" w:hAnsi="FrankRuehl" w:cs="FrankRuehl"/>
                <w:sz w:val="28"/>
                <w:szCs w:val="28"/>
                <w:rtl/>
              </w:rPr>
              <w:t xml:space="preserve">, במסגרתו הוכפל הסכום  פי 4 נוכח התקופה הארוכה יותר של כליאת השווא והעינויים).  </w:t>
            </w:r>
          </w:p>
          <w:p w:rsidR="00F82058" w:rsidRPr="00F82058" w:rsidRDefault="00F82058" w:rsidP="00C632FF">
            <w:pPr>
              <w:tabs>
                <w:tab w:val="left" w:pos="893"/>
              </w:tabs>
              <w:spacing w:line="360" w:lineRule="auto"/>
              <w:jc w:val="both"/>
              <w:rPr>
                <w:rFonts w:ascii="FrankRuehl" w:hAnsi="FrankRuehl" w:cs="FrankRuehl"/>
                <w:b/>
                <w:bCs/>
                <w:sz w:val="12"/>
                <w:szCs w:val="12"/>
                <w:rtl/>
              </w:rPr>
            </w:pPr>
          </w:p>
          <w:p w:rsidR="00C632FF" w:rsidRDefault="00C632FF" w:rsidP="00C632FF">
            <w:pPr>
              <w:tabs>
                <w:tab w:val="left" w:pos="1076"/>
              </w:tabs>
              <w:spacing w:line="360" w:lineRule="auto"/>
              <w:jc w:val="both"/>
              <w:rPr>
                <w:rFonts w:ascii="FrankRuehl" w:hAnsi="FrankRuehl" w:cs="FrankRuehl"/>
                <w:b/>
                <w:bCs/>
                <w:sz w:val="12"/>
                <w:szCs w:val="12"/>
                <w:rtl/>
              </w:rPr>
            </w:pPr>
          </w:p>
          <w:p w:rsidR="00C632FF" w:rsidRDefault="00C632FF" w:rsidP="00C632FF">
            <w:pPr>
              <w:tabs>
                <w:tab w:val="left" w:pos="1076"/>
              </w:tabs>
              <w:spacing w:line="360" w:lineRule="auto"/>
              <w:jc w:val="both"/>
              <w:rPr>
                <w:rFonts w:ascii="FrankRuehl" w:hAnsi="FrankRuehl" w:cs="FrankRuehl"/>
                <w:b/>
                <w:bCs/>
                <w:sz w:val="28"/>
                <w:szCs w:val="28"/>
                <w:u w:val="single"/>
                <w:rtl/>
              </w:rPr>
            </w:pPr>
            <w:r>
              <w:rPr>
                <w:rFonts w:ascii="FrankRuehl" w:hAnsi="FrankRuehl" w:cs="FrankRuehl"/>
                <w:b/>
                <w:bCs/>
                <w:sz w:val="28"/>
                <w:szCs w:val="28"/>
                <w:u w:val="single"/>
                <w:rtl/>
              </w:rPr>
              <w:t>פיצויים עונשיים ושיעורם</w:t>
            </w:r>
          </w:p>
          <w:p w:rsidR="00C632FF" w:rsidRDefault="00C632FF" w:rsidP="00C632FF">
            <w:pPr>
              <w:pStyle w:val="Ruller4"/>
              <w:numPr>
                <w:ilvl w:val="0"/>
                <w:numId w:val="0"/>
              </w:numPr>
              <w:rPr>
                <w:b/>
                <w:bCs/>
                <w:u w:val="single"/>
                <w:rtl/>
              </w:rPr>
            </w:pPr>
          </w:p>
          <w:p w:rsidR="00C632FF" w:rsidRDefault="00C632FF" w:rsidP="00C632FF">
            <w:pPr>
              <w:pStyle w:val="Ruller41"/>
              <w:rPr>
                <w:rtl/>
              </w:rPr>
            </w:pPr>
            <w:r>
              <w:rPr>
                <w:rtl/>
              </w:rPr>
              <w:t>40.</w:t>
            </w:r>
            <w:r>
              <w:rPr>
                <w:rtl/>
              </w:rPr>
              <w:tab/>
            </w:r>
            <w:r>
              <w:rPr>
                <w:sz w:val="28"/>
                <w:rtl/>
              </w:rPr>
              <w:t xml:space="preserve">בעניין </w:t>
            </w:r>
            <w:r>
              <w:rPr>
                <w:rFonts w:ascii="Miriam" w:hAnsi="Miriam" w:cs="Miriam"/>
                <w:sz w:val="24"/>
                <w:szCs w:val="24"/>
                <w:rtl/>
              </w:rPr>
              <w:t>פלוני 1</w:t>
            </w:r>
            <w:r>
              <w:rPr>
                <w:sz w:val="28"/>
                <w:rtl/>
              </w:rPr>
              <w:t xml:space="preserve">, </w:t>
            </w:r>
            <w:r>
              <w:rPr>
                <w:rtl/>
              </w:rPr>
              <w:t xml:space="preserve">מפסקה 84 ואילך, הרחבתי אודות המסגרת הנורמטיבית לפסיקת פיצוי עונשי בקשר לתובעים שנכלאו שלא כדין ועונו על ידי הרש"פ. יש לקרוא הדברים שנאמרו בעניין פלוני 1 החל מפסקה 84 יחד עם פסק דין זה ולכן לא אחזור על הדברים. אציין בקצרה כי למרות חריגותו של הפיצוי </w:t>
            </w:r>
            <w:proofErr w:type="spellStart"/>
            <w:r>
              <w:rPr>
                <w:rtl/>
              </w:rPr>
              <w:t>העונשי</w:t>
            </w:r>
            <w:proofErr w:type="spellEnd"/>
            <w:r>
              <w:rPr>
                <w:rtl/>
              </w:rPr>
              <w:t xml:space="preserve"> בנוף דיני </w:t>
            </w:r>
            <w:proofErr w:type="spellStart"/>
            <w:r>
              <w:rPr>
                <w:rtl/>
              </w:rPr>
              <w:t>הנזיקין</w:t>
            </w:r>
            <w:proofErr w:type="spellEnd"/>
            <w:r>
              <w:rPr>
                <w:rtl/>
              </w:rPr>
              <w:t xml:space="preserve">, בתי המשפט הוסמכו לפסוק פיצוי עונשי בנוסף על הפיצוי התרופתי במקרים יוצאי דופן וחריגים שבהם המעשה עוולתי הוא מקומם ומזעזע במיוחד. כן ציינתי כי יש לקחת בחשבון בעת פסיקת פיצוי עונשי את חומרת המעשה, אופי התנהגותו של המזיק, מידת הסלידה שההתנהגות מעוררת, היסוד הנפשי הנלווה למעשה וכן את חומרת הפגיעה. ציינתי כי חשיבות מיוחדת נודעת לפסיקת פיצוי עונשי במקרים דוגמת זה שלפנינו שבו המזיק, כמו הרש"פ, לא עומד לדין פלילי. כן ציינתי כי בהתאם להנחיית בית המשפט העליון יש לשאוף לאחידות בגובה הפיצוי </w:t>
            </w:r>
            <w:proofErr w:type="spellStart"/>
            <w:r>
              <w:rPr>
                <w:rtl/>
              </w:rPr>
              <w:t>העונשי</w:t>
            </w:r>
            <w:proofErr w:type="spellEnd"/>
            <w:r>
              <w:rPr>
                <w:rtl/>
              </w:rPr>
              <w:t xml:space="preserve"> כאשר מדובר באירועים דומים. </w:t>
            </w:r>
          </w:p>
          <w:p w:rsidR="00C632FF" w:rsidRDefault="00C632FF" w:rsidP="00C632FF">
            <w:pPr>
              <w:pStyle w:val="Ruller41"/>
              <w:rPr>
                <w:rtl/>
              </w:rPr>
            </w:pPr>
          </w:p>
          <w:p w:rsidR="00C632FF" w:rsidRDefault="00C632FF" w:rsidP="00C632FF">
            <w:pPr>
              <w:pStyle w:val="Ruller41"/>
              <w:rPr>
                <w:color w:val="FF0000"/>
                <w:rtl/>
              </w:rPr>
            </w:pPr>
            <w:r>
              <w:rPr>
                <w:rtl/>
              </w:rPr>
              <w:t>41.</w:t>
            </w:r>
            <w:r>
              <w:rPr>
                <w:rtl/>
              </w:rPr>
              <w:tab/>
              <w:t xml:space="preserve">נוכח השיקולים שפורטו באריכות בעניין </w:t>
            </w:r>
            <w:r>
              <w:rPr>
                <w:rFonts w:ascii="Miriam" w:hAnsi="Miriam" w:cs="Miriam"/>
                <w:sz w:val="24"/>
                <w:szCs w:val="24"/>
                <w:rtl/>
              </w:rPr>
              <w:t>פלוני 1</w:t>
            </w:r>
            <w:r>
              <w:rPr>
                <w:rtl/>
              </w:rPr>
              <w:t xml:space="preserve">, ובשים לב למעשים החמורים והמזעזעים שנעשו כלפי התובע בזדון ובאכזריות, בין היתר, כדי לזרוע אימה ופחד בקרב העושים עבודת קודש ומסייעים למדינת ישראל בסיכול פעולות טרור אכזריות, ובשים לב לכך שהרש"פ לא עומדת לדין פלילי על מעשיה, יש לפסוק פיצוי עונשי לתובע. אני מחייבת את הרש"פ לשלם לתובע פיצוי עונשי בסך 500,000  ₪. סכום זהה לסכום שנפסק בעניין </w:t>
            </w:r>
            <w:r>
              <w:rPr>
                <w:rFonts w:ascii="Miriam" w:hAnsi="Miriam" w:cs="Miriam"/>
                <w:sz w:val="24"/>
                <w:szCs w:val="24"/>
                <w:rtl/>
              </w:rPr>
              <w:t>פלוני 1.</w:t>
            </w:r>
            <w:r>
              <w:rPr>
                <w:rtl/>
              </w:rPr>
              <w:t xml:space="preserve">  לא נעלמה מעיניי העובדה שהעוולות במקרה דנן נמשכו תקופה קצרה באופן משמעותי מן התקופה שנדונה בעניין </w:t>
            </w:r>
            <w:r>
              <w:rPr>
                <w:rFonts w:ascii="Miriam" w:hAnsi="Miriam" w:cs="Miriam"/>
                <w:sz w:val="24"/>
                <w:szCs w:val="24"/>
                <w:rtl/>
              </w:rPr>
              <w:t>פלוני 1</w:t>
            </w:r>
            <w:r>
              <w:rPr>
                <w:rtl/>
              </w:rPr>
              <w:t xml:space="preserve"> ואולם כפי שציינתי שם (פסקאות 100-99) בית המשפט העליון הנחה לשמור על "</w:t>
            </w:r>
            <w:r>
              <w:rPr>
                <w:rFonts w:ascii="Miriam" w:hAnsi="Miriam" w:cs="Miriam"/>
                <w:sz w:val="24"/>
                <w:szCs w:val="24"/>
                <w:rtl/>
              </w:rPr>
              <w:t>אחידות</w:t>
            </w:r>
            <w:r>
              <w:rPr>
                <w:rtl/>
              </w:rPr>
              <w:t>", "</w:t>
            </w:r>
            <w:r>
              <w:rPr>
                <w:rFonts w:ascii="Miriam" w:hAnsi="Miriam" w:cs="Miriam"/>
                <w:sz w:val="24"/>
                <w:szCs w:val="24"/>
                <w:rtl/>
              </w:rPr>
              <w:t>יעילות מערכתית</w:t>
            </w:r>
            <w:r>
              <w:rPr>
                <w:rtl/>
              </w:rPr>
              <w:t>" ו"</w:t>
            </w:r>
            <w:r>
              <w:rPr>
                <w:rFonts w:ascii="Miriam" w:hAnsi="Miriam" w:cs="Miriam"/>
                <w:sz w:val="24"/>
                <w:szCs w:val="24"/>
                <w:rtl/>
              </w:rPr>
              <w:t>שיוויון בין הניזוקים</w:t>
            </w:r>
            <w:r>
              <w:rPr>
                <w:rtl/>
              </w:rPr>
              <w:t xml:space="preserve">"(עניין </w:t>
            </w:r>
            <w:r>
              <w:rPr>
                <w:rFonts w:ascii="Miriam" w:hAnsi="Miriam" w:cs="Miriam"/>
                <w:sz w:val="24"/>
                <w:szCs w:val="24"/>
                <w:rtl/>
              </w:rPr>
              <w:t>בן שלום</w:t>
            </w:r>
            <w:r>
              <w:rPr>
                <w:rtl/>
              </w:rPr>
              <w:t xml:space="preserve">, פסקה 139) בכל הנוגע לשיעור הפיצוי </w:t>
            </w:r>
            <w:proofErr w:type="spellStart"/>
            <w:r>
              <w:rPr>
                <w:rtl/>
              </w:rPr>
              <w:t>העונשי</w:t>
            </w:r>
            <w:proofErr w:type="spellEnd"/>
            <w:r>
              <w:rPr>
                <w:rtl/>
              </w:rPr>
              <w:t>. בית המשפט העליון היה ער לכך ש"</w:t>
            </w:r>
            <w:r>
              <w:rPr>
                <w:rFonts w:ascii="Miriam" w:hAnsi="Miriam" w:cs="Miriam"/>
                <w:sz w:val="24"/>
                <w:szCs w:val="24"/>
                <w:rtl/>
              </w:rPr>
              <w:t>אחידות מעין זו עלולה אמנם להתנגש לעתים עם טיבו האינדיווידואלי של הפיצוי הנזיקי</w:t>
            </w:r>
            <w:r>
              <w:rPr>
                <w:rtl/>
              </w:rPr>
              <w:t>" אך סבר "</w:t>
            </w:r>
            <w:r>
              <w:rPr>
                <w:rFonts w:ascii="Miriam" w:hAnsi="Miriam" w:cs="Miriam"/>
                <w:sz w:val="24"/>
                <w:szCs w:val="24"/>
                <w:rtl/>
              </w:rPr>
              <w:t xml:space="preserve">כי יש לשאוף אליה בכל הנוגע לפיצויים </w:t>
            </w:r>
            <w:proofErr w:type="spellStart"/>
            <w:r>
              <w:rPr>
                <w:rFonts w:ascii="Miriam" w:hAnsi="Miriam" w:cs="Miriam"/>
                <w:sz w:val="24"/>
                <w:szCs w:val="24"/>
                <w:rtl/>
              </w:rPr>
              <w:t>עונשיים</w:t>
            </w:r>
            <w:proofErr w:type="spellEnd"/>
            <w:r>
              <w:rPr>
                <w:rFonts w:ascii="Miriam" w:hAnsi="Miriam" w:cs="Miriam"/>
                <w:sz w:val="24"/>
                <w:szCs w:val="24"/>
                <w:rtl/>
              </w:rPr>
              <w:t xml:space="preserve"> תוך התאמה לנסיבות הקונקרטיות, ובין היתר, לחומרת המעשה ולאשמת המזיק</w:t>
            </w:r>
            <w:r>
              <w:rPr>
                <w:rtl/>
              </w:rPr>
              <w:t xml:space="preserve">" (שם, שם וכן ע"א 7819/21 </w:t>
            </w:r>
            <w:r>
              <w:rPr>
                <w:rFonts w:ascii="Miriam" w:hAnsi="Miriam" w:cs="Miriam"/>
                <w:sz w:val="24"/>
                <w:szCs w:val="24"/>
                <w:rtl/>
              </w:rPr>
              <w:t>פלוני ו- 25 אח' נ' ארגון החמאס ואח'</w:t>
            </w:r>
            <w:r>
              <w:rPr>
                <w:rtl/>
              </w:rPr>
              <w:t xml:space="preserve">, פסקה 13 (31.1.2023)). נוכח האמור ובשים לב לכך שאופי המעשים ואופי הפגיעות דומה בשני המקרים (וכן במקרים נוספים שנדונים בפניי בימים אלה), קבעתי בעניין </w:t>
            </w:r>
            <w:r>
              <w:rPr>
                <w:rFonts w:ascii="Miriam" w:hAnsi="Miriam" w:cs="Miriam"/>
                <w:sz w:val="24"/>
                <w:szCs w:val="24"/>
                <w:rtl/>
              </w:rPr>
              <w:t>פלוני 1</w:t>
            </w:r>
            <w:r>
              <w:rPr>
                <w:rtl/>
              </w:rPr>
              <w:t xml:space="preserve"> כי סכום הפיצוי </w:t>
            </w:r>
            <w:proofErr w:type="spellStart"/>
            <w:r>
              <w:rPr>
                <w:rtl/>
              </w:rPr>
              <w:t>העונשי</w:t>
            </w:r>
            <w:proofErr w:type="spellEnd"/>
            <w:r>
              <w:rPr>
                <w:rtl/>
              </w:rPr>
              <w:t xml:space="preserve"> שנפסק שם ישמש קנה מידה לפסיקת פיצויים </w:t>
            </w:r>
            <w:proofErr w:type="spellStart"/>
            <w:r>
              <w:rPr>
                <w:rtl/>
              </w:rPr>
              <w:t>עונשיים</w:t>
            </w:r>
            <w:proofErr w:type="spellEnd"/>
            <w:r>
              <w:rPr>
                <w:rtl/>
              </w:rPr>
              <w:t xml:space="preserve"> בתביעות נגד הרש"פ בנושא כליאת שווא ועינויים, אלא אם הנסיבות יהיו שונות באופן מהותי ויצדיקו סטייה מן הסכום האמור (עניין </w:t>
            </w:r>
            <w:r>
              <w:rPr>
                <w:rFonts w:ascii="Miriam" w:hAnsi="Miriam" w:cs="Miriam"/>
                <w:sz w:val="24"/>
                <w:szCs w:val="24"/>
                <w:rtl/>
              </w:rPr>
              <w:t>פלוני 1</w:t>
            </w:r>
            <w:r>
              <w:rPr>
                <w:rtl/>
              </w:rPr>
              <w:t xml:space="preserve">, פסקה 100).   </w:t>
            </w:r>
          </w:p>
          <w:p w:rsidR="00C632FF" w:rsidRDefault="00C632FF" w:rsidP="00C632FF">
            <w:pPr>
              <w:pStyle w:val="Ruller41"/>
              <w:rPr>
                <w:rFonts w:ascii="FrankRuehl" w:hAnsi="FrankRuehl"/>
                <w:b/>
                <w:bCs/>
                <w:sz w:val="28"/>
                <w:u w:val="single"/>
              </w:rPr>
            </w:pPr>
          </w:p>
          <w:p w:rsidR="00C632FF" w:rsidRDefault="00C632FF" w:rsidP="00C632FF">
            <w:pPr>
              <w:spacing w:line="360" w:lineRule="auto"/>
              <w:ind w:firstLine="44"/>
              <w:jc w:val="both"/>
              <w:rPr>
                <w:rFonts w:ascii="FrankRuehl" w:hAnsi="FrankRuehl" w:cs="FrankRuehl"/>
                <w:b/>
                <w:bCs/>
                <w:sz w:val="28"/>
                <w:szCs w:val="28"/>
                <w:u w:val="single"/>
                <w:rtl/>
              </w:rPr>
            </w:pPr>
            <w:r>
              <w:rPr>
                <w:rFonts w:ascii="FrankRuehl" w:hAnsi="FrankRuehl" w:cs="FrankRuehl"/>
                <w:b/>
                <w:bCs/>
                <w:sz w:val="28"/>
                <w:szCs w:val="28"/>
                <w:u w:val="single"/>
                <w:rtl/>
              </w:rPr>
              <w:t>סיכום</w:t>
            </w:r>
          </w:p>
          <w:p w:rsidR="00C632FF" w:rsidRDefault="00C632FF" w:rsidP="00C632FF">
            <w:pPr>
              <w:spacing w:line="360" w:lineRule="auto"/>
              <w:ind w:firstLine="44"/>
              <w:jc w:val="both"/>
              <w:rPr>
                <w:rFonts w:ascii="FrankRuehl" w:hAnsi="FrankRuehl" w:cs="FrankRuehl"/>
                <w:b/>
                <w:bCs/>
                <w:sz w:val="28"/>
                <w:szCs w:val="28"/>
                <w:u w:val="single"/>
                <w:rtl/>
              </w:rPr>
            </w:pPr>
          </w:p>
          <w:p w:rsidR="00C632FF" w:rsidRDefault="00C632FF" w:rsidP="00C632FF">
            <w:pPr>
              <w:spacing w:line="360" w:lineRule="auto"/>
              <w:ind w:firstLine="44"/>
              <w:jc w:val="both"/>
              <w:rPr>
                <w:rFonts w:ascii="FrankRuehl" w:hAnsi="FrankRuehl" w:cs="FrankRuehl"/>
                <w:sz w:val="28"/>
                <w:szCs w:val="28"/>
                <w:rtl/>
              </w:rPr>
            </w:pPr>
            <w:r>
              <w:rPr>
                <w:rFonts w:ascii="FrankRuehl" w:hAnsi="FrankRuehl" w:cs="FrankRuehl"/>
                <w:sz w:val="28"/>
                <w:szCs w:val="28"/>
                <w:rtl/>
              </w:rPr>
              <w:t>42.</w:t>
            </w:r>
            <w:r>
              <w:rPr>
                <w:rFonts w:ascii="FrankRuehl" w:hAnsi="FrankRuehl" w:cs="FrankRuehl"/>
                <w:sz w:val="28"/>
                <w:szCs w:val="28"/>
                <w:rtl/>
              </w:rPr>
              <w:tab/>
              <w:t xml:space="preserve">הרש"פ  תשלם לתובע את הסכומים שנפסקו לעיל, בצירוף שכר טרחת עו"ד בשיעור 23.4% וכן הוצאות משפט. יוער כי הגם שסכום הפיצוי כולל גם רכיב של פיצוי עונשי, משנפסק גם פיצוי תרופתי בשיעור משמעותי ביחס לפיצוי העונשי, לא ראיתי להפחית משכר טרחת עורכי הדין כפי שפסקתי בתא 4333-03 </w:t>
            </w:r>
            <w:r w:rsidRPr="00F82058">
              <w:rPr>
                <w:rFonts w:ascii="Miriam" w:hAnsi="Miriam" w:cs="Miriam"/>
                <w:rtl/>
              </w:rPr>
              <w:t>פלונית ואח' נ' הרשות הפלסטינית</w:t>
            </w:r>
            <w:r>
              <w:rPr>
                <w:rFonts w:ascii="FrankRuehl" w:hAnsi="FrankRuehl" w:cs="FrankRuehl"/>
                <w:sz w:val="28"/>
                <w:szCs w:val="28"/>
                <w:rtl/>
              </w:rPr>
              <w:t xml:space="preserve"> (2.11.2020). </w:t>
            </w:r>
          </w:p>
          <w:p w:rsidR="00C632FF" w:rsidRDefault="00C632FF" w:rsidP="00C632FF">
            <w:pPr>
              <w:spacing w:line="360" w:lineRule="auto"/>
              <w:ind w:firstLine="44"/>
              <w:jc w:val="both"/>
              <w:rPr>
                <w:rFonts w:ascii="FrankRuehl" w:hAnsi="FrankRuehl" w:cs="FrankRuehl"/>
                <w:sz w:val="28"/>
                <w:szCs w:val="28"/>
                <w:rtl/>
              </w:rPr>
            </w:pPr>
          </w:p>
          <w:p w:rsidR="00C632FF" w:rsidRDefault="00C632FF" w:rsidP="00C632FF">
            <w:pPr>
              <w:spacing w:line="360" w:lineRule="auto"/>
              <w:ind w:firstLine="44"/>
              <w:jc w:val="both"/>
              <w:rPr>
                <w:rFonts w:asciiTheme="minorHAnsi" w:hAnsiTheme="minorHAnsi" w:cstheme="minorBidi"/>
                <w:sz w:val="22"/>
                <w:szCs w:val="22"/>
                <w:rtl/>
              </w:rPr>
            </w:pPr>
            <w:r>
              <w:rPr>
                <w:rFonts w:ascii="FrankRuehl" w:hAnsi="FrankRuehl" w:cs="FrankRuehl"/>
                <w:sz w:val="28"/>
                <w:szCs w:val="28"/>
                <w:rtl/>
              </w:rPr>
              <w:lastRenderedPageBreak/>
              <w:tab/>
            </w:r>
            <w:r>
              <w:rPr>
                <w:rFonts w:ascii="FrankRuehl" w:hAnsi="FrankRuehl" w:cs="FrankRuehl"/>
                <w:sz w:val="28"/>
                <w:szCs w:val="28"/>
              </w:rPr>
              <w:t xml:space="preserve">     </w:t>
            </w:r>
            <w:r>
              <w:rPr>
                <w:rFonts w:ascii="FrankRuehl" w:hAnsi="FrankRuehl" w:cs="FrankRuehl"/>
                <w:sz w:val="28"/>
                <w:szCs w:val="28"/>
                <w:rtl/>
              </w:rPr>
              <w:t>הסכומים ישולמו בתוך 30 ימים מיום המצאת פסק הדין שאם לא כן יישאו הפרשי הצמדה וריבית כדין מהיום ועד יום התשלום בפועל.</w:t>
            </w:r>
          </w:p>
          <w:p w:rsidR="00C632FF" w:rsidRDefault="00C632FF" w:rsidP="00C632FF">
            <w:pPr>
              <w:pStyle w:val="Ruller41"/>
              <w:tabs>
                <w:tab w:val="clear" w:pos="800"/>
                <w:tab w:val="left" w:pos="84"/>
                <w:tab w:val="left" w:pos="935"/>
              </w:tabs>
              <w:spacing w:before="120" w:after="120"/>
              <w:ind w:left="84"/>
              <w:rPr>
                <w:rFonts w:ascii="FrankRuehl" w:hAnsi="FrankRuehl"/>
                <w:b/>
                <w:bCs/>
                <w:sz w:val="28"/>
                <w:u w:val="single"/>
                <w:rtl/>
              </w:rPr>
            </w:pPr>
          </w:p>
          <w:p w:rsidR="00C632FF" w:rsidRDefault="00C632FF" w:rsidP="00C632FF">
            <w:pPr>
              <w:pStyle w:val="Ruller41"/>
              <w:tabs>
                <w:tab w:val="clear" w:pos="800"/>
                <w:tab w:val="left" w:pos="84"/>
                <w:tab w:val="left" w:pos="935"/>
              </w:tabs>
              <w:spacing w:before="120" w:after="120"/>
              <w:ind w:left="84"/>
              <w:rPr>
                <w:rFonts w:ascii="FrankRuehl" w:hAnsi="FrankRuehl"/>
                <w:b/>
                <w:bCs/>
                <w:sz w:val="28"/>
                <w:u w:val="single"/>
                <w:rtl/>
              </w:rPr>
            </w:pPr>
          </w:p>
          <w:p w:rsidR="00C632FF" w:rsidRDefault="00C632FF" w:rsidP="00C632FF">
            <w:pPr>
              <w:pStyle w:val="Ruller41"/>
              <w:tabs>
                <w:tab w:val="clear" w:pos="800"/>
                <w:tab w:val="left" w:pos="84"/>
                <w:tab w:val="left" w:pos="935"/>
              </w:tabs>
              <w:spacing w:before="120" w:after="120"/>
              <w:ind w:left="84"/>
              <w:rPr>
                <w:rFonts w:ascii="FrankRuehl" w:hAnsi="FrankRuehl"/>
                <w:b/>
                <w:bCs/>
                <w:sz w:val="28"/>
                <w:u w:val="single"/>
                <w:rtl/>
              </w:rPr>
            </w:pPr>
          </w:p>
          <w:p w:rsidR="00C632FF" w:rsidRDefault="00C632FF" w:rsidP="00C632FF">
            <w:pPr>
              <w:pStyle w:val="Ruller41"/>
              <w:tabs>
                <w:tab w:val="clear" w:pos="800"/>
                <w:tab w:val="left" w:pos="84"/>
                <w:tab w:val="left" w:pos="935"/>
              </w:tabs>
              <w:spacing w:before="120" w:after="120"/>
              <w:ind w:left="84"/>
              <w:rPr>
                <w:rFonts w:ascii="FrankRuehl" w:hAnsi="FrankRuehl"/>
                <w:sz w:val="28"/>
              </w:rPr>
            </w:pPr>
          </w:p>
          <w:p w:rsidR="00D44968" w:rsidRPr="00D44968" w:rsidRDefault="00D44968" w:rsidP="00D44968">
            <w:pPr>
              <w:bidi w:val="0"/>
              <w:jc w:val="center"/>
              <w:rPr>
                <w:rFonts w:ascii="Arial" w:hAnsi="Arial"/>
                <w:b/>
                <w:bCs/>
                <w:noProof w:val="0"/>
                <w:sz w:val="28"/>
                <w:szCs w:val="28"/>
                <w:u w:val="single"/>
              </w:rPr>
            </w:pPr>
          </w:p>
        </w:tc>
      </w:tr>
      <w:tr w:rsidR="00D95D6A" w:rsidRPr="00DE1E7D">
        <w:trPr>
          <w:jc w:val="center"/>
        </w:trPr>
        <w:tc>
          <w:tcPr>
            <w:tcW w:w="8820" w:type="dxa"/>
            <w:gridSpan w:val="3"/>
          </w:tcPr>
          <w:p w:rsidR="00D95D6A" w:rsidRDefault="00D95D6A">
            <w:pPr>
              <w:bidi w:val="0"/>
              <w:jc w:val="center"/>
              <w:rPr>
                <w:rFonts w:ascii="Arial" w:hAnsi="Arial"/>
                <w:b/>
                <w:bCs/>
                <w:noProof w:val="0"/>
                <w:sz w:val="28"/>
                <w:szCs w:val="28"/>
                <w:u w:val="single"/>
                <w:rtl/>
              </w:rPr>
            </w:pPr>
          </w:p>
        </w:tc>
      </w:tr>
    </w:tbl>
    <w:p w:rsidR="00694556" w:rsidRPr="00C770E3" w:rsidRDefault="00694556">
      <w:pPr>
        <w:spacing w:line="360" w:lineRule="auto"/>
        <w:jc w:val="both"/>
        <w:rPr>
          <w:rFonts w:ascii="Arial" w:hAnsi="Arial"/>
          <w:noProof w:val="0"/>
          <w:rtl/>
        </w:rPr>
      </w:pPr>
      <w:bookmarkStart w:id="1" w:name="NGCSBookmark"/>
      <w:bookmarkEnd w:id="1"/>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כ"א שבט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12 פברואר 2023</w:t>
          </w:r>
        </w:sdtContent>
      </w:sdt>
      <w:r w:rsidR="00005C8B">
        <w:rPr>
          <w:rFonts w:ascii="Arial" w:hAnsi="Arial"/>
          <w:noProof w:val="0"/>
          <w:rtl/>
        </w:rPr>
        <w:t>, בהעדר הצדדים.</w:t>
      </w:r>
    </w:p>
    <w:p w:rsidR="00C43648" w:rsidRDefault="00A21FEA"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959412514"/>
        </w:sdtPr>
        <w:sdtEndPr/>
        <w:sdtContent>
          <w:r w:rsidR="00A21FEA">
            <w:drawing>
              <wp:inline distT="0" distB="0" distL="0" distR="0" wp14:editId="50D07946">
                <wp:extent cx="11715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171575" cy="79057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C632FF">
      <w:headerReference w:type="even" r:id="rId9"/>
      <w:headerReference w:type="default" r:id="rId10"/>
      <w:footerReference w:type="even" r:id="rId11"/>
      <w:footerReference w:type="default" r:id="rId12"/>
      <w:headerReference w:type="first" r:id="rId13"/>
      <w:footerReference w:type="first" r:id="rId14"/>
      <w:pgSz w:w="11907" w:h="16840" w:code="9"/>
      <w:pgMar w:top="1440" w:right="1800" w:bottom="1440" w:left="1800" w:header="720" w:footer="510"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2AFF" w:usb1="4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Miriam">
    <w:panose1 w:val="020B050205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A21FEA">
      <w:rPr>
        <w:rStyle w:val="ab"/>
        <w:rFonts w:cs="Times New Roman"/>
        <w:rtl/>
      </w:rPr>
      <w:t>20</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A21FEA">
      <w:rPr>
        <w:rStyle w:val="ab"/>
        <w:rtl/>
      </w:rPr>
      <w:t>22</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בירושלים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A21FEA" w:rsidP="007C2453">
          <w:pPr>
            <w:rPr>
              <w:b/>
              <w:bCs/>
              <w:noProof w:val="0"/>
              <w:sz w:val="26"/>
              <w:szCs w:val="26"/>
              <w:rtl/>
            </w:rPr>
          </w:pPr>
          <w:sdt>
            <w:sdtPr>
              <w:rPr>
                <w:rtl/>
              </w:rPr>
              <w:alias w:val="1170"/>
              <w:tag w:val="1170"/>
              <w:id w:val="1066377040"/>
              <w:text w:multiLine="1"/>
            </w:sdtPr>
            <w:sdtEndPr/>
            <w:sdtContent>
              <w:r w:rsidR="00B859C5">
                <w:rPr>
                  <w:b/>
                  <w:bCs/>
                  <w:noProof w:val="0"/>
                  <w:sz w:val="26"/>
                  <w:szCs w:val="26"/>
                  <w:rtl/>
                </w:rPr>
                <w:t>ת"א</w:t>
              </w:r>
            </w:sdtContent>
          </w:sdt>
          <w:r w:rsidR="00005C8B">
            <w:rPr>
              <w:b/>
              <w:bCs/>
              <w:noProof w:val="0"/>
              <w:sz w:val="26"/>
              <w:szCs w:val="26"/>
              <w:rtl/>
            </w:rPr>
            <w:t xml:space="preserve"> </w:t>
          </w:r>
          <w:sdt>
            <w:sdtPr>
              <w:rPr>
                <w:rtl/>
              </w:rPr>
              <w:alias w:val="1171"/>
              <w:tag w:val="1171"/>
              <w:id w:val="257034231"/>
              <w:text w:multiLine="1"/>
            </w:sdtPr>
            <w:sdtEndPr/>
            <w:sdtContent>
              <w:r w:rsidR="00B859C5">
                <w:rPr>
                  <w:b/>
                  <w:bCs/>
                  <w:noProof w:val="0"/>
                  <w:sz w:val="26"/>
                  <w:szCs w:val="26"/>
                  <w:rtl/>
                </w:rPr>
                <w:t>28601-06-17</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B859C5">
                <w:rPr>
                  <w:b/>
                  <w:bCs/>
                  <w:noProof w:val="0"/>
                  <w:sz w:val="26"/>
                  <w:szCs w:val="26"/>
                  <w:rtl/>
                </w:rPr>
                <w:t>פלוני נ' הרשות הפלסטינית</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6001B"/>
    <w:multiLevelType w:val="hybridMultilevel"/>
    <w:tmpl w:val="36BC2566"/>
    <w:lvl w:ilvl="0" w:tplc="055E4D94">
      <w:start w:val="1"/>
      <w:numFmt w:val="decimal"/>
      <w:pStyle w:val="Ruller4"/>
      <w:lvlText w:val="%1."/>
      <w:lvlJc w:val="left"/>
      <w:pPr>
        <w:tabs>
          <w:tab w:val="num" w:pos="1049"/>
        </w:tabs>
        <w:ind w:left="142" w:firstLine="0"/>
      </w:pPr>
      <w:rPr>
        <w:lang w:bidi="he-IL"/>
      </w:rPr>
    </w:lvl>
    <w:lvl w:ilvl="1" w:tplc="875EAF72">
      <w:start w:val="1"/>
      <w:numFmt w:val="lowerLetter"/>
      <w:lvlText w:val="%2."/>
      <w:lvlJc w:val="left"/>
      <w:pPr>
        <w:tabs>
          <w:tab w:val="num" w:pos="1582"/>
        </w:tabs>
        <w:ind w:left="1582" w:hanging="360"/>
      </w:pPr>
    </w:lvl>
    <w:lvl w:ilvl="2" w:tplc="4C26E498">
      <w:start w:val="1"/>
      <w:numFmt w:val="lowerRoman"/>
      <w:lvlText w:val="%3."/>
      <w:lvlJc w:val="right"/>
      <w:pPr>
        <w:tabs>
          <w:tab w:val="num" w:pos="2302"/>
        </w:tabs>
        <w:ind w:left="2302" w:hanging="180"/>
      </w:pPr>
    </w:lvl>
    <w:lvl w:ilvl="3" w:tplc="47E21146">
      <w:start w:val="1"/>
      <w:numFmt w:val="decimal"/>
      <w:lvlText w:val="%4."/>
      <w:lvlJc w:val="left"/>
      <w:pPr>
        <w:tabs>
          <w:tab w:val="num" w:pos="3022"/>
        </w:tabs>
        <w:ind w:left="3022" w:hanging="360"/>
      </w:pPr>
    </w:lvl>
    <w:lvl w:ilvl="4" w:tplc="0956617C">
      <w:start w:val="1"/>
      <w:numFmt w:val="lowerLetter"/>
      <w:lvlText w:val="%5."/>
      <w:lvlJc w:val="left"/>
      <w:pPr>
        <w:tabs>
          <w:tab w:val="num" w:pos="3742"/>
        </w:tabs>
        <w:ind w:left="3742" w:hanging="360"/>
      </w:pPr>
    </w:lvl>
    <w:lvl w:ilvl="5" w:tplc="31DAED8C">
      <w:start w:val="1"/>
      <w:numFmt w:val="lowerRoman"/>
      <w:lvlText w:val="%6."/>
      <w:lvlJc w:val="right"/>
      <w:pPr>
        <w:tabs>
          <w:tab w:val="num" w:pos="4462"/>
        </w:tabs>
        <w:ind w:left="4462" w:hanging="180"/>
      </w:pPr>
    </w:lvl>
    <w:lvl w:ilvl="6" w:tplc="B958F70E">
      <w:start w:val="1"/>
      <w:numFmt w:val="decimal"/>
      <w:lvlText w:val="%7."/>
      <w:lvlJc w:val="left"/>
      <w:pPr>
        <w:tabs>
          <w:tab w:val="num" w:pos="5182"/>
        </w:tabs>
        <w:ind w:left="5182" w:hanging="360"/>
      </w:pPr>
    </w:lvl>
    <w:lvl w:ilvl="7" w:tplc="75D854A4">
      <w:start w:val="1"/>
      <w:numFmt w:val="lowerLetter"/>
      <w:lvlText w:val="%8."/>
      <w:lvlJc w:val="left"/>
      <w:pPr>
        <w:tabs>
          <w:tab w:val="num" w:pos="5902"/>
        </w:tabs>
        <w:ind w:left="5902" w:hanging="360"/>
      </w:pPr>
    </w:lvl>
    <w:lvl w:ilvl="8" w:tplc="A262F904">
      <w:start w:val="1"/>
      <w:numFmt w:val="lowerRoman"/>
      <w:lvlText w:val="%9."/>
      <w:lvlJc w:val="right"/>
      <w:pPr>
        <w:tabs>
          <w:tab w:val="num" w:pos="6622"/>
        </w:tabs>
        <w:ind w:left="6622" w:hanging="180"/>
      </w:pPr>
    </w:lvl>
  </w:abstractNum>
  <w:abstractNum w:abstractNumId="1" w15:restartNumberingAfterBreak="0">
    <w:nsid w:val="4637779F"/>
    <w:multiLevelType w:val="multilevel"/>
    <w:tmpl w:val="8F9E2A38"/>
    <w:lvl w:ilvl="0">
      <w:start w:val="1"/>
      <w:numFmt w:val="decimal"/>
      <w:lvlText w:val="%1."/>
      <w:lvlJc w:val="left"/>
      <w:pPr>
        <w:ind w:left="772" w:hanging="630"/>
      </w:pPr>
      <w:rPr>
        <w:b w:val="0"/>
        <w:bCs w:val="0"/>
        <w:lang w:bidi="he-IL"/>
      </w:rPr>
    </w:lvl>
    <w:lvl w:ilvl="1">
      <w:start w:val="1"/>
      <w:numFmt w:val="decimal"/>
      <w:isLgl/>
      <w:lvlText w:val="%1.%2"/>
      <w:lvlJc w:val="left"/>
      <w:pPr>
        <w:ind w:left="504" w:hanging="420"/>
      </w:pPr>
    </w:lvl>
    <w:lvl w:ilvl="2">
      <w:start w:val="1"/>
      <w:numFmt w:val="decimal"/>
      <w:isLgl/>
      <w:lvlText w:val="%1.%2.%3"/>
      <w:lvlJc w:val="left"/>
      <w:pPr>
        <w:ind w:left="804" w:hanging="720"/>
      </w:pPr>
    </w:lvl>
    <w:lvl w:ilvl="3">
      <w:start w:val="1"/>
      <w:numFmt w:val="decimal"/>
      <w:isLgl/>
      <w:lvlText w:val="%1.%2.%3.%4"/>
      <w:lvlJc w:val="left"/>
      <w:pPr>
        <w:ind w:left="804" w:hanging="720"/>
      </w:pPr>
    </w:lvl>
    <w:lvl w:ilvl="4">
      <w:start w:val="1"/>
      <w:numFmt w:val="decimal"/>
      <w:isLgl/>
      <w:lvlText w:val="%1.%2.%3.%4.%5"/>
      <w:lvlJc w:val="left"/>
      <w:pPr>
        <w:ind w:left="1164" w:hanging="1080"/>
      </w:pPr>
    </w:lvl>
    <w:lvl w:ilvl="5">
      <w:start w:val="1"/>
      <w:numFmt w:val="decimal"/>
      <w:isLgl/>
      <w:lvlText w:val="%1.%2.%3.%4.%5.%6"/>
      <w:lvlJc w:val="left"/>
      <w:pPr>
        <w:ind w:left="1164" w:hanging="1080"/>
      </w:pPr>
    </w:lvl>
    <w:lvl w:ilvl="6">
      <w:start w:val="1"/>
      <w:numFmt w:val="decimal"/>
      <w:isLgl/>
      <w:lvlText w:val="%1.%2.%3.%4.%5.%6.%7"/>
      <w:lvlJc w:val="left"/>
      <w:pPr>
        <w:ind w:left="1524" w:hanging="1440"/>
      </w:pPr>
    </w:lvl>
    <w:lvl w:ilvl="7">
      <w:start w:val="1"/>
      <w:numFmt w:val="decimal"/>
      <w:isLgl/>
      <w:lvlText w:val="%1.%2.%3.%4.%5.%6.%7.%8"/>
      <w:lvlJc w:val="left"/>
      <w:pPr>
        <w:ind w:left="1524" w:hanging="1440"/>
      </w:pPr>
    </w:lvl>
    <w:lvl w:ilvl="8">
      <w:start w:val="1"/>
      <w:numFmt w:val="decimal"/>
      <w:isLgl/>
      <w:lvlText w:val="%1.%2.%3.%4.%5.%6.%7.%8.%9"/>
      <w:lvlJc w:val="left"/>
      <w:pPr>
        <w:ind w:left="1884"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20"/>
  <w:characterSpacingControl w:val="doNotCompress"/>
  <w:hdrShapeDefaults>
    <o:shapedefaults v:ext="edit" spidmax="21197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C4003"/>
    <w:rsid w:val="001D4DBF"/>
    <w:rsid w:val="001E75CA"/>
    <w:rsid w:val="002265FF"/>
    <w:rsid w:val="00271B56"/>
    <w:rsid w:val="00272E32"/>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D1C8C"/>
    <w:rsid w:val="003E38C7"/>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57717"/>
    <w:rsid w:val="00576A86"/>
    <w:rsid w:val="005F4F09"/>
    <w:rsid w:val="00603F73"/>
    <w:rsid w:val="0061431B"/>
    <w:rsid w:val="00622BAA"/>
    <w:rsid w:val="006306CF"/>
    <w:rsid w:val="00644E9A"/>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3139F"/>
    <w:rsid w:val="0094424E"/>
    <w:rsid w:val="00955642"/>
    <w:rsid w:val="009622DF"/>
    <w:rsid w:val="0096493F"/>
    <w:rsid w:val="00967DFF"/>
    <w:rsid w:val="00994341"/>
    <w:rsid w:val="009D1A48"/>
    <w:rsid w:val="009E1CE7"/>
    <w:rsid w:val="009E461A"/>
    <w:rsid w:val="009E4EA5"/>
    <w:rsid w:val="009F164B"/>
    <w:rsid w:val="009F323C"/>
    <w:rsid w:val="00A21FEA"/>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D75"/>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32FF"/>
    <w:rsid w:val="00C642FA"/>
    <w:rsid w:val="00C770E3"/>
    <w:rsid w:val="00CC7622"/>
    <w:rsid w:val="00CD608F"/>
    <w:rsid w:val="00CF6BB7"/>
    <w:rsid w:val="00D04AA4"/>
    <w:rsid w:val="00D27982"/>
    <w:rsid w:val="00D33B86"/>
    <w:rsid w:val="00D44968"/>
    <w:rsid w:val="00D53924"/>
    <w:rsid w:val="00D55D0C"/>
    <w:rsid w:val="00D95D6A"/>
    <w:rsid w:val="00D96D8C"/>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44D1D"/>
    <w:rsid w:val="00F82058"/>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11971"/>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C632FF"/>
    <w:pPr>
      <w:spacing w:after="160" w:line="256" w:lineRule="auto"/>
      <w:ind w:left="720"/>
      <w:contextualSpacing/>
    </w:pPr>
    <w:rPr>
      <w:rFonts w:asciiTheme="minorHAnsi" w:eastAsiaTheme="minorHAnsi" w:hAnsiTheme="minorHAnsi" w:cstheme="minorBidi"/>
      <w:noProof w:val="0"/>
      <w:sz w:val="22"/>
      <w:szCs w:val="22"/>
    </w:rPr>
  </w:style>
  <w:style w:type="character" w:customStyle="1" w:styleId="Ruller40">
    <w:name w:val="Ruller4 תו"/>
    <w:link w:val="Ruller41"/>
    <w:locked/>
    <w:rsid w:val="00C632FF"/>
    <w:rPr>
      <w:rFonts w:ascii="Arial TUR" w:hAnsi="Arial TUR" w:cs="FrankRuehl"/>
      <w:spacing w:val="10"/>
      <w:szCs w:val="28"/>
    </w:rPr>
  </w:style>
  <w:style w:type="paragraph" w:customStyle="1" w:styleId="Ruller41">
    <w:name w:val="Ruller4"/>
    <w:basedOn w:val="a"/>
    <w:link w:val="Ruller40"/>
    <w:rsid w:val="00C632FF"/>
    <w:pPr>
      <w:tabs>
        <w:tab w:val="left" w:pos="800"/>
      </w:tabs>
      <w:overflowPunct w:val="0"/>
      <w:autoSpaceDE w:val="0"/>
      <w:autoSpaceDN w:val="0"/>
      <w:adjustRightInd w:val="0"/>
      <w:spacing w:line="360" w:lineRule="auto"/>
      <w:jc w:val="both"/>
    </w:pPr>
    <w:rPr>
      <w:rFonts w:ascii="Arial TUR" w:hAnsi="Arial TUR" w:cs="FrankRuehl"/>
      <w:noProof w:val="0"/>
      <w:spacing w:val="10"/>
      <w:sz w:val="20"/>
      <w:szCs w:val="28"/>
    </w:rPr>
  </w:style>
  <w:style w:type="paragraph" w:customStyle="1" w:styleId="Ruller5">
    <w:name w:val="Ruller5"/>
    <w:basedOn w:val="a"/>
    <w:rsid w:val="00C632FF"/>
    <w:pPr>
      <w:overflowPunct w:val="0"/>
      <w:autoSpaceDE w:val="0"/>
      <w:autoSpaceDN w:val="0"/>
      <w:adjustRightInd w:val="0"/>
      <w:ind w:left="1644" w:right="1276"/>
      <w:jc w:val="both"/>
    </w:pPr>
    <w:rPr>
      <w:rFonts w:ascii="Arial TUR" w:hAnsi="Arial TUR" w:cs="FrankRuehl"/>
      <w:noProof w:val="0"/>
      <w:spacing w:val="10"/>
      <w:sz w:val="22"/>
      <w:szCs w:val="28"/>
    </w:rPr>
  </w:style>
  <w:style w:type="paragraph" w:customStyle="1" w:styleId="Ruller4">
    <w:name w:val="Ruller 4 ממוספר"/>
    <w:basedOn w:val="Ruller41"/>
    <w:next w:val="Ruller41"/>
    <w:rsid w:val="00C632FF"/>
    <w:pPr>
      <w:numPr>
        <w:numId w:val="1"/>
      </w:numPr>
      <w:tabs>
        <w:tab w:val="clear" w:pos="1049"/>
        <w:tab w:val="num" w:pos="360"/>
      </w:tabs>
      <w:ind w:left="0"/>
    </w:pPr>
    <w:rPr>
      <w:rFonts w:ascii="Garamond" w:hAnsi="Garamond"/>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614232">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9227F1" w:rsidP="009227F1">
          <w:pPr>
            <w:pStyle w:val="E460D38E05664FF79D4EFF282EF8EC9926"/>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817811" w:rsidP="00817811">
          <w:pPr>
            <w:pStyle w:val="7D8E46D2581B4CD9ACC623ACA7D52F753"/>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817811" w:rsidP="00817811">
          <w:pPr>
            <w:pStyle w:val="C3B0FBA23B684176B12DDEEA2C39785F3"/>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2AFF" w:usb1="4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Miriam">
    <w:panose1 w:val="020B050205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2D02C4"/>
    <w:rsid w:val="00345C9D"/>
    <w:rsid w:val="0048651F"/>
    <w:rsid w:val="005157ED"/>
    <w:rsid w:val="005171E8"/>
    <w:rsid w:val="00556D67"/>
    <w:rsid w:val="00793995"/>
    <w:rsid w:val="007C6F98"/>
    <w:rsid w:val="007E254A"/>
    <w:rsid w:val="00817811"/>
    <w:rsid w:val="008B4366"/>
    <w:rsid w:val="009133C7"/>
    <w:rsid w:val="009178E4"/>
    <w:rsid w:val="009227F1"/>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227F1"/>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9227F1"/>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TotalTime>
  <Pages>22</Pages>
  <Words>6285</Words>
  <Characters>31428</Characters>
  <Application>Microsoft Office Word</Application>
  <DocSecurity>0</DocSecurity>
  <Lines>261</Lines>
  <Paragraphs>75</Paragraphs>
  <ScaleCrop>false</ScaleCrop>
  <Company>Microsoft Corporation</Company>
  <LinksUpToDate>false</LinksUpToDate>
  <CharactersWithSpaces>37638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מרים אילני</cp:lastModifiedBy>
  <cp:revision>147</cp:revision>
  <dcterms:created xsi:type="dcterms:W3CDTF">2012-08-06T05:16:00Z</dcterms:created>
  <dcterms:modified xsi:type="dcterms:W3CDTF">2024-05-05T07:03:00Z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ssemblyLocation">
    <vt:lpwstr>C:\Program Files\NGCS\NGCS.Common.WordTemplate.vsto|a6b55e7c-583a-4154-845d-901f18a53e62|vstolocal</vt:lpwstr>
  </property>
  <property fmtid="{D5CDD505-2E9C-101B-9397-08002B2CF9AE}" pid="3" name="_AssemblyName">
    <vt:lpwstr>4E3C66D5-58D4-491E-A7D4-64AF99AF6E8B</vt:lpwstr>
  </property>
</Properties>
</file>